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E66695">
      <w:pPr>
        <w:widowControl/>
        <w:spacing w:line="560" w:lineRule="exact"/>
        <w:rPr>
          <w:rFonts w:hint="eastAsia" w:ascii="黑体" w:hAnsi="黑体" w:eastAsia="黑体" w:cs="黑体"/>
          <w:sz w:val="32"/>
          <w:szCs w:val="32"/>
          <w:lang w:val="en-US" w:eastAsia="zh-CN"/>
        </w:rPr>
      </w:pPr>
      <w:bookmarkStart w:id="0" w:name="_GoBack"/>
      <w:bookmarkEnd w:id="0"/>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3</w:t>
      </w:r>
    </w:p>
    <w:p w14:paraId="3F28370E">
      <w:pPr>
        <w:widowControl/>
        <w:spacing w:line="560" w:lineRule="exact"/>
        <w:jc w:val="center"/>
        <w:rPr>
          <w:rFonts w:hint="eastAsia" w:ascii="方正小标宋_GBK" w:hAnsi="方正小标宋_GBK" w:eastAsia="方正小标宋_GBK" w:cs="方正小标宋_GBK"/>
          <w:b w:val="0"/>
          <w:bCs/>
          <w:color w:val="auto"/>
          <w:sz w:val="36"/>
          <w:szCs w:val="36"/>
          <w:lang w:eastAsia="zh-CN"/>
        </w:rPr>
      </w:pPr>
      <w:r>
        <w:rPr>
          <w:rFonts w:hint="eastAsia" w:ascii="方正小标宋_GBK" w:hAnsi="方正小标宋_GBK" w:eastAsia="方正小标宋_GBK" w:cs="方正小标宋_GBK"/>
          <w:b w:val="0"/>
          <w:bCs/>
          <w:sz w:val="36"/>
          <w:szCs w:val="36"/>
        </w:rPr>
        <w:t>福建省人力资源服务</w:t>
      </w:r>
      <w:r>
        <w:rPr>
          <w:rFonts w:hint="eastAsia" w:ascii="方正小标宋_GBK" w:hAnsi="方正小标宋_GBK" w:eastAsia="方正小标宋_GBK" w:cs="方正小标宋_GBK"/>
          <w:b w:val="0"/>
          <w:bCs/>
          <w:sz w:val="36"/>
          <w:szCs w:val="36"/>
          <w:lang w:eastAsia="zh-CN"/>
        </w:rPr>
        <w:t>机构</w:t>
      </w:r>
      <w:r>
        <w:rPr>
          <w:rFonts w:hint="eastAsia" w:ascii="方正小标宋_GBK" w:hAnsi="方正小标宋_GBK" w:eastAsia="方正小标宋_GBK" w:cs="方正小标宋_GBK"/>
          <w:b w:val="0"/>
          <w:bCs/>
          <w:color w:val="auto"/>
          <w:sz w:val="36"/>
          <w:szCs w:val="36"/>
          <w:lang w:eastAsia="zh-CN"/>
        </w:rPr>
        <w:t>开展人力资源服务相关事项</w:t>
      </w:r>
    </w:p>
    <w:p w14:paraId="1EF76956">
      <w:pPr>
        <w:widowControl/>
        <w:spacing w:line="560" w:lineRule="exact"/>
        <w:jc w:val="center"/>
        <w:rPr>
          <w:rFonts w:hint="eastAsia" w:ascii="方正小标宋_GBK" w:hAnsi="方正小标宋_GBK" w:eastAsia="方正小标宋_GBK" w:cs="方正小标宋_GBK"/>
          <w:b w:val="0"/>
          <w:bCs/>
          <w:sz w:val="36"/>
          <w:szCs w:val="36"/>
          <w:lang w:eastAsia="zh-CN"/>
        </w:rPr>
      </w:pPr>
      <w:r>
        <w:rPr>
          <w:rFonts w:hint="eastAsia" w:ascii="方正小标宋_GBK" w:hAnsi="方正小标宋_GBK" w:eastAsia="方正小标宋_GBK" w:cs="方正小标宋_GBK"/>
          <w:b w:val="0"/>
          <w:bCs/>
          <w:sz w:val="36"/>
          <w:szCs w:val="36"/>
        </w:rPr>
        <w:t>书面报告规程表</w:t>
      </w:r>
    </w:p>
    <w:p w14:paraId="42F6E319">
      <w:pPr>
        <w:widowControl/>
        <w:spacing w:line="560" w:lineRule="exact"/>
        <w:jc w:val="center"/>
        <w:rPr>
          <w:rFonts w:hint="eastAsia" w:ascii="方正小标宋_GBK" w:hAnsi="方正小标宋_GBK" w:eastAsia="方正小标宋_GBK" w:cs="方正小标宋_GBK"/>
          <w:b w:val="0"/>
          <w:bCs/>
          <w:sz w:val="36"/>
          <w:szCs w:val="36"/>
        </w:rPr>
      </w:pPr>
    </w:p>
    <w:tbl>
      <w:tblPr>
        <w:tblStyle w:val="2"/>
        <w:tblW w:w="969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27"/>
        <w:gridCol w:w="1260"/>
        <w:gridCol w:w="1279"/>
        <w:gridCol w:w="6326"/>
      </w:tblGrid>
      <w:tr w14:paraId="417143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1" w:hRule="atLeast"/>
          <w:jc w:val="center"/>
        </w:trPr>
        <w:tc>
          <w:tcPr>
            <w:tcW w:w="827" w:type="dxa"/>
            <w:noWrap w:val="0"/>
            <w:vAlign w:val="center"/>
          </w:tcPr>
          <w:p w14:paraId="2A736ECF">
            <w:pPr>
              <w:widowControl/>
              <w:spacing w:line="240" w:lineRule="atLeast"/>
              <w:jc w:val="center"/>
              <w:rPr>
                <w:rFonts w:ascii="华文楷体" w:hAnsi="华文楷体" w:eastAsia="华文楷体" w:cs="宋体"/>
                <w:kern w:val="0"/>
                <w:sz w:val="24"/>
              </w:rPr>
            </w:pPr>
            <w:r>
              <w:rPr>
                <w:rFonts w:hint="eastAsia" w:ascii="华文楷体" w:hAnsi="华文楷体" w:eastAsia="华文楷体" w:cs="宋体"/>
                <w:kern w:val="0"/>
                <w:sz w:val="24"/>
              </w:rPr>
              <w:t>序号</w:t>
            </w:r>
          </w:p>
        </w:tc>
        <w:tc>
          <w:tcPr>
            <w:tcW w:w="1260" w:type="dxa"/>
            <w:noWrap w:val="0"/>
            <w:vAlign w:val="center"/>
          </w:tcPr>
          <w:p w14:paraId="06BC1D24">
            <w:pPr>
              <w:widowControl/>
              <w:spacing w:line="240" w:lineRule="atLeast"/>
              <w:jc w:val="center"/>
              <w:rPr>
                <w:rFonts w:ascii="华文楷体" w:hAnsi="华文楷体" w:eastAsia="华文楷体" w:cs="宋体"/>
                <w:kern w:val="0"/>
                <w:sz w:val="24"/>
              </w:rPr>
            </w:pPr>
            <w:r>
              <w:rPr>
                <w:rFonts w:hint="eastAsia" w:ascii="华文楷体" w:hAnsi="华文楷体" w:eastAsia="华文楷体" w:cs="宋体"/>
                <w:kern w:val="0"/>
                <w:sz w:val="24"/>
              </w:rPr>
              <w:t>项目</w:t>
            </w:r>
          </w:p>
        </w:tc>
        <w:tc>
          <w:tcPr>
            <w:tcW w:w="7605" w:type="dxa"/>
            <w:gridSpan w:val="2"/>
            <w:noWrap w:val="0"/>
            <w:vAlign w:val="center"/>
          </w:tcPr>
          <w:p w14:paraId="33F32BE4">
            <w:pPr>
              <w:widowControl/>
              <w:spacing w:line="240" w:lineRule="atLeast"/>
              <w:jc w:val="center"/>
              <w:rPr>
                <w:rFonts w:ascii="华文楷体" w:hAnsi="华文楷体" w:eastAsia="华文楷体" w:cs="宋体"/>
                <w:kern w:val="0"/>
                <w:sz w:val="24"/>
              </w:rPr>
            </w:pPr>
            <w:r>
              <w:rPr>
                <w:rFonts w:hint="eastAsia" w:ascii="华文楷体" w:hAnsi="华文楷体" w:eastAsia="华文楷体" w:cs="宋体"/>
                <w:kern w:val="0"/>
                <w:sz w:val="24"/>
              </w:rPr>
              <w:t>内容</w:t>
            </w:r>
          </w:p>
        </w:tc>
      </w:tr>
      <w:tr w14:paraId="7AF021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1" w:hRule="atLeast"/>
          <w:jc w:val="center"/>
        </w:trPr>
        <w:tc>
          <w:tcPr>
            <w:tcW w:w="827" w:type="dxa"/>
            <w:noWrap w:val="0"/>
            <w:vAlign w:val="center"/>
          </w:tcPr>
          <w:p w14:paraId="02622867">
            <w:pPr>
              <w:widowControl/>
              <w:spacing w:line="240" w:lineRule="atLeast"/>
              <w:jc w:val="center"/>
              <w:rPr>
                <w:rFonts w:ascii="华文楷体" w:hAnsi="华文楷体" w:eastAsia="华文楷体" w:cs="宋体"/>
                <w:kern w:val="0"/>
                <w:sz w:val="24"/>
              </w:rPr>
            </w:pPr>
            <w:r>
              <w:rPr>
                <w:rFonts w:hint="eastAsia" w:ascii="华文楷体" w:hAnsi="华文楷体" w:eastAsia="华文楷体" w:cs="宋体"/>
                <w:kern w:val="0"/>
                <w:sz w:val="24"/>
              </w:rPr>
              <w:t>1</w:t>
            </w:r>
          </w:p>
        </w:tc>
        <w:tc>
          <w:tcPr>
            <w:tcW w:w="1260" w:type="dxa"/>
            <w:noWrap w:val="0"/>
            <w:vAlign w:val="center"/>
          </w:tcPr>
          <w:p w14:paraId="28C9D606">
            <w:pPr>
              <w:widowControl/>
              <w:spacing w:line="240" w:lineRule="atLeast"/>
              <w:jc w:val="both"/>
              <w:rPr>
                <w:rFonts w:ascii="华文楷体" w:hAnsi="华文楷体" w:eastAsia="华文楷体" w:cs="宋体"/>
                <w:kern w:val="0"/>
                <w:sz w:val="24"/>
              </w:rPr>
            </w:pPr>
            <w:r>
              <w:rPr>
                <w:rFonts w:hint="eastAsia" w:ascii="华文楷体" w:hAnsi="华文楷体" w:eastAsia="华文楷体" w:cs="宋体"/>
                <w:kern w:val="0"/>
                <w:sz w:val="24"/>
              </w:rPr>
              <w:t>项目名称</w:t>
            </w:r>
          </w:p>
        </w:tc>
        <w:tc>
          <w:tcPr>
            <w:tcW w:w="7605" w:type="dxa"/>
            <w:gridSpan w:val="2"/>
            <w:noWrap w:val="0"/>
            <w:vAlign w:val="center"/>
          </w:tcPr>
          <w:p w14:paraId="47EFA49F">
            <w:pPr>
              <w:widowControl/>
              <w:spacing w:line="240" w:lineRule="atLeast"/>
              <w:jc w:val="both"/>
              <w:rPr>
                <w:rFonts w:hint="eastAsia" w:ascii="仿宋_GB2312" w:hAnsi="Times New Roman" w:eastAsia="仿宋_GB2312" w:cs="宋体"/>
                <w:kern w:val="0"/>
                <w:sz w:val="24"/>
                <w:lang w:eastAsia="zh-CN"/>
              </w:rPr>
            </w:pPr>
            <w:r>
              <w:rPr>
                <w:rFonts w:hint="eastAsia" w:ascii="仿宋_GB2312" w:hAnsi="Times New Roman" w:cs="宋体"/>
                <w:kern w:val="0"/>
                <w:sz w:val="24"/>
                <w:lang w:eastAsia="zh-CN"/>
              </w:rPr>
              <w:t>人力资源服务相关事项书面报告</w:t>
            </w:r>
          </w:p>
        </w:tc>
      </w:tr>
      <w:tr w14:paraId="589246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42" w:hRule="atLeast"/>
          <w:jc w:val="center"/>
        </w:trPr>
        <w:tc>
          <w:tcPr>
            <w:tcW w:w="827" w:type="dxa"/>
            <w:noWrap w:val="0"/>
            <w:vAlign w:val="center"/>
          </w:tcPr>
          <w:p w14:paraId="7F6A93D1">
            <w:pPr>
              <w:widowControl/>
              <w:spacing w:line="240" w:lineRule="atLeast"/>
              <w:jc w:val="center"/>
              <w:rPr>
                <w:rFonts w:ascii="华文楷体" w:hAnsi="华文楷体" w:eastAsia="华文楷体" w:cs="宋体"/>
                <w:kern w:val="0"/>
                <w:sz w:val="24"/>
              </w:rPr>
            </w:pPr>
            <w:r>
              <w:rPr>
                <w:rFonts w:hint="eastAsia" w:ascii="华文楷体" w:hAnsi="华文楷体" w:eastAsia="华文楷体" w:cs="宋体"/>
                <w:kern w:val="0"/>
                <w:sz w:val="24"/>
              </w:rPr>
              <w:t>2</w:t>
            </w:r>
          </w:p>
        </w:tc>
        <w:tc>
          <w:tcPr>
            <w:tcW w:w="1260" w:type="dxa"/>
            <w:noWrap w:val="0"/>
            <w:vAlign w:val="center"/>
          </w:tcPr>
          <w:p w14:paraId="499FD326">
            <w:pPr>
              <w:widowControl/>
              <w:spacing w:line="240" w:lineRule="atLeast"/>
              <w:jc w:val="both"/>
              <w:rPr>
                <w:rFonts w:ascii="华文楷体" w:hAnsi="华文楷体" w:eastAsia="华文楷体" w:cs="宋体"/>
                <w:kern w:val="0"/>
                <w:sz w:val="24"/>
              </w:rPr>
            </w:pPr>
            <w:r>
              <w:rPr>
                <w:rFonts w:hint="eastAsia" w:ascii="华文楷体" w:hAnsi="华文楷体" w:eastAsia="华文楷体" w:cs="宋体"/>
                <w:kern w:val="0"/>
                <w:sz w:val="24"/>
              </w:rPr>
              <w:t>设定依据</w:t>
            </w:r>
          </w:p>
        </w:tc>
        <w:tc>
          <w:tcPr>
            <w:tcW w:w="7605" w:type="dxa"/>
            <w:gridSpan w:val="2"/>
            <w:noWrap w:val="0"/>
            <w:vAlign w:val="center"/>
          </w:tcPr>
          <w:p w14:paraId="146B7D63">
            <w:pPr>
              <w:keepNext w:val="0"/>
              <w:keepLines w:val="0"/>
              <w:pageBreakBefore w:val="0"/>
              <w:widowControl/>
              <w:numPr>
                <w:ilvl w:val="0"/>
                <w:numId w:val="0"/>
              </w:numPr>
              <w:kinsoku/>
              <w:wordWrap/>
              <w:overflowPunct/>
              <w:topLinePunct w:val="0"/>
              <w:autoSpaceDE/>
              <w:autoSpaceDN/>
              <w:bidi w:val="0"/>
              <w:adjustRightInd/>
              <w:snapToGrid/>
              <w:spacing w:line="480" w:lineRule="exact"/>
              <w:ind w:firstLine="480" w:firstLineChars="200"/>
              <w:jc w:val="left"/>
              <w:textAlignment w:val="auto"/>
              <w:rPr>
                <w:rFonts w:hint="eastAsia" w:ascii="仿宋_GB2312" w:hAnsi="Times New Roman" w:cs="Times New Roman"/>
                <w:sz w:val="24"/>
                <w:lang w:bidi="ar"/>
              </w:rPr>
            </w:pPr>
            <w:r>
              <w:rPr>
                <w:rFonts w:hint="eastAsia" w:ascii="仿宋_GB2312" w:hAnsi="Times New Roman" w:cs="Times New Roman"/>
                <w:sz w:val="24"/>
                <w:lang w:eastAsia="zh-CN" w:bidi="ar"/>
              </w:rPr>
              <w:t>（一）</w:t>
            </w:r>
            <w:r>
              <w:rPr>
                <w:rFonts w:hint="eastAsia" w:ascii="仿宋_GB2312" w:hAnsi="Times New Roman" w:cs="Times New Roman"/>
                <w:sz w:val="24"/>
                <w:lang w:bidi="ar"/>
              </w:rPr>
              <w:t>《人力资源市场暂行条例》（国务院令第700号）第二十条</w:t>
            </w:r>
            <w:r>
              <w:rPr>
                <w:rFonts w:hint="eastAsia" w:ascii="仿宋_GB2312" w:hAnsi="Times New Roman" w:cs="Times New Roman"/>
                <w:sz w:val="24"/>
                <w:lang w:eastAsia="zh-CN" w:bidi="ar"/>
              </w:rPr>
              <w:t>：</w:t>
            </w:r>
            <w:r>
              <w:rPr>
                <w:rFonts w:hint="eastAsia" w:ascii="仿宋_GB2312" w:hAnsi="Times New Roman" w:cs="Times New Roman"/>
                <w:sz w:val="24"/>
                <w:lang w:bidi="ar"/>
              </w:rPr>
              <w:t>经营性人力资源服务机构设立分支机构的，应当自工商登记办理完毕之日起15日内，书面报告分支机构所在地人力资源社会保障行政部门。</w:t>
            </w:r>
          </w:p>
          <w:p w14:paraId="1733E7E9">
            <w:pPr>
              <w:keepNext w:val="0"/>
              <w:keepLines w:val="0"/>
              <w:pageBreakBefore w:val="0"/>
              <w:widowControl/>
              <w:numPr>
                <w:ilvl w:val="0"/>
                <w:numId w:val="0"/>
              </w:numPr>
              <w:kinsoku/>
              <w:wordWrap/>
              <w:overflowPunct/>
              <w:topLinePunct w:val="0"/>
              <w:autoSpaceDE/>
              <w:autoSpaceDN/>
              <w:bidi w:val="0"/>
              <w:adjustRightInd/>
              <w:snapToGrid/>
              <w:spacing w:line="480" w:lineRule="exact"/>
              <w:ind w:firstLine="480" w:firstLineChars="200"/>
              <w:jc w:val="left"/>
              <w:textAlignment w:val="auto"/>
              <w:rPr>
                <w:rFonts w:hint="eastAsia" w:ascii="仿宋_GB2312" w:hAnsi="Times New Roman" w:cs="Times New Roman"/>
                <w:sz w:val="24"/>
                <w:lang w:bidi="ar"/>
              </w:rPr>
            </w:pPr>
            <w:r>
              <w:rPr>
                <w:rFonts w:hint="eastAsia" w:ascii="仿宋_GB2312" w:hAnsi="Times New Roman" w:cs="Times New Roman"/>
                <w:sz w:val="24"/>
                <w:lang w:bidi="ar"/>
              </w:rPr>
              <w:t>第二十一条：经营性人力资源服务机构变更名称、住所、法定代表人或者终止经营的，应当自工商变更登记或者注销登记办理完毕之日起15日内，书面报告人力资源社会保障行政部门。</w:t>
            </w:r>
          </w:p>
          <w:p w14:paraId="6183A23E">
            <w:pPr>
              <w:keepNext w:val="0"/>
              <w:keepLines w:val="0"/>
              <w:pageBreakBefore w:val="0"/>
              <w:widowControl/>
              <w:numPr>
                <w:ilvl w:val="0"/>
                <w:numId w:val="0"/>
              </w:numPr>
              <w:kinsoku/>
              <w:wordWrap/>
              <w:overflowPunct/>
              <w:topLinePunct w:val="0"/>
              <w:autoSpaceDE/>
              <w:autoSpaceDN/>
              <w:bidi w:val="0"/>
              <w:adjustRightInd/>
              <w:snapToGrid/>
              <w:spacing w:line="480" w:lineRule="exact"/>
              <w:ind w:firstLine="480" w:firstLineChars="200"/>
              <w:jc w:val="left"/>
              <w:textAlignment w:val="auto"/>
              <w:rPr>
                <w:rFonts w:hint="eastAsia" w:ascii="仿宋_GB2312" w:hAnsi="Times New Roman" w:cs="Times New Roman"/>
                <w:sz w:val="24"/>
                <w:lang w:bidi="ar"/>
              </w:rPr>
            </w:pPr>
            <w:r>
              <w:rPr>
                <w:rFonts w:hint="eastAsia" w:ascii="仿宋_GB2312" w:hAnsi="Times New Roman" w:cs="Times New Roman"/>
                <w:sz w:val="24"/>
                <w:lang w:bidi="ar"/>
              </w:rPr>
              <w:t>（二）《人力资</w:t>
            </w:r>
            <w:r>
              <w:rPr>
                <w:rFonts w:hint="eastAsia" w:ascii="仿宋_GB2312" w:hAnsi="Times New Roman" w:cs="Times New Roman"/>
                <w:sz w:val="24"/>
                <w:lang w:eastAsia="zh-CN" w:bidi="ar"/>
              </w:rPr>
              <w:t>源</w:t>
            </w:r>
            <w:r>
              <w:rPr>
                <w:rFonts w:hint="eastAsia" w:ascii="仿宋_GB2312" w:hAnsi="Times New Roman" w:cs="Times New Roman"/>
                <w:sz w:val="24"/>
                <w:lang w:bidi="ar"/>
              </w:rPr>
              <w:t>服务机构管理规定》（人力资源社会保障部令第50号）第十二条</w:t>
            </w:r>
            <w:r>
              <w:rPr>
                <w:rFonts w:hint="eastAsia" w:ascii="仿宋_GB2312" w:hAnsi="Times New Roman" w:cs="Times New Roman"/>
                <w:sz w:val="24"/>
                <w:lang w:eastAsia="zh-CN" w:bidi="ar"/>
              </w:rPr>
              <w:t>：</w:t>
            </w:r>
            <w:r>
              <w:rPr>
                <w:rFonts w:hint="eastAsia" w:ascii="仿宋_GB2312" w:hAnsi="Times New Roman" w:cs="Times New Roman"/>
                <w:sz w:val="24"/>
                <w:lang w:bidi="ar"/>
              </w:rPr>
              <w:t>经营性人力资源服务机构设立分支机构的，应当自市场主体登记办理完毕之日起15日内，书面报告分支机构住所地人力资源社会保障行政部门。</w:t>
            </w:r>
          </w:p>
          <w:p w14:paraId="0D5068B7">
            <w:pPr>
              <w:keepNext w:val="0"/>
              <w:keepLines w:val="0"/>
              <w:pageBreakBefore w:val="0"/>
              <w:widowControl/>
              <w:numPr>
                <w:ilvl w:val="0"/>
                <w:numId w:val="0"/>
              </w:numPr>
              <w:kinsoku/>
              <w:wordWrap/>
              <w:overflowPunct/>
              <w:topLinePunct w:val="0"/>
              <w:autoSpaceDE/>
              <w:autoSpaceDN/>
              <w:bidi w:val="0"/>
              <w:adjustRightInd/>
              <w:snapToGrid/>
              <w:spacing w:line="480" w:lineRule="exact"/>
              <w:ind w:firstLine="480" w:firstLineChars="200"/>
              <w:jc w:val="left"/>
              <w:textAlignment w:val="auto"/>
              <w:rPr>
                <w:rFonts w:hint="eastAsia" w:ascii="仿宋_GB2312" w:hAnsi="Times New Roman" w:cs="Times New Roman"/>
                <w:sz w:val="24"/>
                <w:lang w:bidi="ar"/>
              </w:rPr>
            </w:pPr>
            <w:r>
              <w:rPr>
                <w:rFonts w:hint="eastAsia" w:ascii="仿宋_GB2312" w:hAnsi="Times New Roman" w:cs="Times New Roman"/>
                <w:sz w:val="24"/>
                <w:lang w:bidi="ar"/>
              </w:rPr>
              <w:t>第十三条</w:t>
            </w:r>
            <w:r>
              <w:rPr>
                <w:rFonts w:hint="eastAsia" w:ascii="仿宋_GB2312" w:hAnsi="Times New Roman" w:cs="Times New Roman"/>
                <w:sz w:val="24"/>
                <w:lang w:eastAsia="zh-CN" w:bidi="ar"/>
              </w:rPr>
              <w:t>：</w:t>
            </w:r>
            <w:r>
              <w:rPr>
                <w:rFonts w:hint="eastAsia" w:ascii="仿宋_GB2312" w:hAnsi="Times New Roman" w:cs="Times New Roman"/>
                <w:sz w:val="24"/>
                <w:lang w:bidi="ar"/>
              </w:rPr>
              <w:t>经营性人力资源服务机构变更名称、住所、法定代表人或者终止经营活动的，应当自市场主体变更登记或者注销登记办理完毕之日起15日内，书面报告住所地人力资源社会保障行政部门。人力资源社会保障行政部门应当及时换发或者收回人力资源服务许可证、备案凭证。</w:t>
            </w:r>
          </w:p>
          <w:p w14:paraId="0DF01135">
            <w:pPr>
              <w:keepNext w:val="0"/>
              <w:keepLines w:val="0"/>
              <w:pageBreakBefore w:val="0"/>
              <w:widowControl/>
              <w:numPr>
                <w:ilvl w:val="0"/>
                <w:numId w:val="0"/>
              </w:numPr>
              <w:kinsoku/>
              <w:wordWrap/>
              <w:overflowPunct/>
              <w:topLinePunct w:val="0"/>
              <w:autoSpaceDE/>
              <w:autoSpaceDN/>
              <w:bidi w:val="0"/>
              <w:adjustRightInd/>
              <w:snapToGrid/>
              <w:spacing w:line="480" w:lineRule="exact"/>
              <w:ind w:firstLine="480" w:firstLineChars="200"/>
              <w:jc w:val="left"/>
              <w:textAlignment w:val="auto"/>
              <w:rPr>
                <w:rFonts w:hint="eastAsia" w:ascii="Times New Roman" w:hAnsi="Times New Roman" w:eastAsia="方正仿宋_GBK" w:cs="Times New Roman"/>
                <w:lang w:eastAsia="zh-CN"/>
              </w:rPr>
            </w:pPr>
            <w:r>
              <w:rPr>
                <w:rFonts w:hint="eastAsia" w:ascii="仿宋_GB2312" w:hAnsi="Times New Roman" w:cs="Times New Roman"/>
                <w:sz w:val="24"/>
                <w:lang w:eastAsia="zh-CN" w:bidi="ar"/>
              </w:rPr>
              <w:t>（三）《福建省人力资源市场条例》</w:t>
            </w:r>
            <w:r>
              <w:rPr>
                <w:rFonts w:hint="eastAsia" w:ascii="仿宋_GB2312" w:hAnsi="Times New Roman" w:cs="Times New Roman"/>
                <w:sz w:val="24"/>
                <w:lang w:bidi="ar"/>
              </w:rPr>
              <w:t>第</w:t>
            </w:r>
            <w:r>
              <w:rPr>
                <w:rFonts w:hint="eastAsia" w:ascii="仿宋_GB2312" w:hAnsi="Times New Roman" w:cs="Times New Roman"/>
                <w:sz w:val="24"/>
                <w:lang w:val="en-US" w:eastAsia="zh-CN" w:bidi="ar"/>
              </w:rPr>
              <w:t>二十九</w:t>
            </w:r>
            <w:r>
              <w:rPr>
                <w:rFonts w:hint="eastAsia" w:ascii="仿宋_GB2312" w:hAnsi="Times New Roman" w:cs="Times New Roman"/>
                <w:sz w:val="24"/>
                <w:lang w:bidi="ar"/>
              </w:rPr>
              <w:t>条</w:t>
            </w:r>
            <w:r>
              <w:rPr>
                <w:rFonts w:hint="eastAsia" w:ascii="仿宋_GB2312" w:hAnsi="Times New Roman" w:cs="Times New Roman"/>
                <w:sz w:val="24"/>
                <w:lang w:eastAsia="zh-CN" w:bidi="ar"/>
              </w:rPr>
              <w:t>：</w:t>
            </w:r>
            <w:r>
              <w:rPr>
                <w:rFonts w:hint="eastAsia" w:ascii="仿宋_GB2312" w:hAnsi="Times New Roman" w:cs="Times New Roman"/>
                <w:sz w:val="24"/>
                <w:lang w:bidi="ar"/>
              </w:rPr>
              <w:t>经营性人力资源服务机构设立分支机构的，应当自登记办理完毕之日起十五日内，书面报告分支机构</w:t>
            </w:r>
            <w:r>
              <w:rPr>
                <w:rFonts w:hint="eastAsia" w:ascii="仿宋_GB2312" w:hAnsi="Times New Roman" w:cs="Times New Roman"/>
                <w:sz w:val="24"/>
                <w:lang w:eastAsia="zh-CN" w:bidi="ar"/>
              </w:rPr>
              <w:t>住所地</w:t>
            </w:r>
            <w:r>
              <w:rPr>
                <w:rFonts w:hint="eastAsia" w:ascii="仿宋_GB2312" w:hAnsi="Times New Roman" w:cs="Times New Roman"/>
                <w:sz w:val="24"/>
                <w:lang w:bidi="ar"/>
              </w:rPr>
              <w:t>县级以上地方人民政府人力资源社会保障行政部门。第</w:t>
            </w:r>
            <w:r>
              <w:rPr>
                <w:rFonts w:hint="eastAsia" w:ascii="仿宋_GB2312" w:hAnsi="Times New Roman" w:cs="Times New Roman"/>
                <w:sz w:val="24"/>
                <w:lang w:val="en-US" w:eastAsia="zh-CN" w:bidi="ar"/>
              </w:rPr>
              <w:t>三十</w:t>
            </w:r>
            <w:r>
              <w:rPr>
                <w:rFonts w:hint="eastAsia" w:ascii="仿宋_GB2312" w:hAnsi="Times New Roman" w:cs="Times New Roman"/>
                <w:sz w:val="24"/>
                <w:lang w:bidi="ar"/>
              </w:rPr>
              <w:t>条</w:t>
            </w:r>
            <w:r>
              <w:rPr>
                <w:rFonts w:hint="eastAsia" w:ascii="仿宋_GB2312" w:hAnsi="Times New Roman" w:cs="Times New Roman"/>
                <w:sz w:val="24"/>
                <w:lang w:eastAsia="zh-CN" w:bidi="ar"/>
              </w:rPr>
              <w:t>：</w:t>
            </w:r>
            <w:r>
              <w:rPr>
                <w:rFonts w:hint="eastAsia" w:ascii="仿宋_GB2312" w:hAnsi="Times New Roman" w:cs="Times New Roman"/>
                <w:sz w:val="24"/>
                <w:lang w:bidi="ar"/>
              </w:rPr>
              <w:t>经营性人力资源服务机构变更名称、住所、法定代表人或者终止经营活动的，应当办理变更登记或者注销登记手续，并自登记办理完毕之日起十五日内，书面报告住所地县级以上地方人民政府人力资源社会保障行政部门。</w:t>
            </w:r>
          </w:p>
        </w:tc>
      </w:tr>
      <w:tr w14:paraId="644A1A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84" w:hRule="atLeast"/>
          <w:jc w:val="center"/>
        </w:trPr>
        <w:tc>
          <w:tcPr>
            <w:tcW w:w="827" w:type="dxa"/>
            <w:noWrap w:val="0"/>
            <w:vAlign w:val="center"/>
          </w:tcPr>
          <w:p w14:paraId="25214F44">
            <w:pPr>
              <w:widowControl/>
              <w:spacing w:line="240" w:lineRule="atLeast"/>
              <w:jc w:val="center"/>
              <w:rPr>
                <w:rFonts w:ascii="华文楷体" w:hAnsi="华文楷体" w:eastAsia="华文楷体" w:cs="宋体"/>
                <w:kern w:val="0"/>
                <w:sz w:val="24"/>
              </w:rPr>
            </w:pPr>
            <w:r>
              <w:rPr>
                <w:rFonts w:hint="eastAsia" w:ascii="华文楷体" w:hAnsi="华文楷体" w:eastAsia="华文楷体" w:cs="宋体"/>
                <w:kern w:val="0"/>
                <w:sz w:val="24"/>
              </w:rPr>
              <w:t>3</w:t>
            </w:r>
          </w:p>
        </w:tc>
        <w:tc>
          <w:tcPr>
            <w:tcW w:w="1260" w:type="dxa"/>
            <w:noWrap w:val="0"/>
            <w:vAlign w:val="center"/>
          </w:tcPr>
          <w:p w14:paraId="133729AA">
            <w:pPr>
              <w:widowControl/>
              <w:spacing w:line="240" w:lineRule="atLeast"/>
              <w:jc w:val="both"/>
              <w:rPr>
                <w:rFonts w:ascii="华文楷体" w:hAnsi="华文楷体" w:eastAsia="华文楷体" w:cs="宋体"/>
                <w:kern w:val="0"/>
                <w:sz w:val="24"/>
              </w:rPr>
            </w:pPr>
            <w:r>
              <w:rPr>
                <w:rFonts w:hint="eastAsia" w:ascii="华文楷体" w:hAnsi="华文楷体" w:eastAsia="华文楷体" w:cs="宋体"/>
                <w:kern w:val="0"/>
                <w:sz w:val="24"/>
              </w:rPr>
              <w:t>申报对象</w:t>
            </w:r>
          </w:p>
        </w:tc>
        <w:tc>
          <w:tcPr>
            <w:tcW w:w="7605" w:type="dxa"/>
            <w:gridSpan w:val="2"/>
            <w:noWrap w:val="0"/>
            <w:vAlign w:val="center"/>
          </w:tcPr>
          <w:p w14:paraId="11107832">
            <w:pPr>
              <w:widowControl/>
              <w:spacing w:line="240" w:lineRule="atLeast"/>
              <w:jc w:val="both"/>
              <w:rPr>
                <w:rFonts w:ascii="仿宋_GB2312" w:hAnsi="Times New Roman" w:cs="Arial"/>
                <w:sz w:val="24"/>
              </w:rPr>
            </w:pPr>
            <w:r>
              <w:rPr>
                <w:rFonts w:hint="eastAsia" w:ascii="仿宋_GB2312" w:hAnsi="Times New Roman" w:cs="Arial"/>
                <w:sz w:val="24"/>
              </w:rPr>
              <w:t>经营性人力资源服务机构</w:t>
            </w:r>
          </w:p>
        </w:tc>
      </w:tr>
      <w:tr w14:paraId="1A2C11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16" w:hRule="atLeast"/>
          <w:jc w:val="center"/>
        </w:trPr>
        <w:tc>
          <w:tcPr>
            <w:tcW w:w="827" w:type="dxa"/>
            <w:vMerge w:val="restart"/>
            <w:noWrap w:val="0"/>
            <w:vAlign w:val="center"/>
          </w:tcPr>
          <w:p w14:paraId="31BA74B3">
            <w:pPr>
              <w:widowControl/>
              <w:spacing w:line="240" w:lineRule="atLeast"/>
              <w:jc w:val="center"/>
              <w:rPr>
                <w:rFonts w:ascii="华文楷体" w:hAnsi="华文楷体" w:eastAsia="华文楷体" w:cs="宋体"/>
                <w:kern w:val="0"/>
                <w:sz w:val="24"/>
              </w:rPr>
            </w:pPr>
            <w:r>
              <w:rPr>
                <w:rFonts w:hint="eastAsia" w:ascii="华文楷体" w:hAnsi="华文楷体" w:eastAsia="华文楷体" w:cs="宋体"/>
                <w:kern w:val="0"/>
                <w:sz w:val="24"/>
              </w:rPr>
              <w:t>4</w:t>
            </w:r>
          </w:p>
        </w:tc>
        <w:tc>
          <w:tcPr>
            <w:tcW w:w="1260" w:type="dxa"/>
            <w:vMerge w:val="restart"/>
            <w:noWrap w:val="0"/>
            <w:vAlign w:val="center"/>
          </w:tcPr>
          <w:p w14:paraId="0D8CBDD1">
            <w:pPr>
              <w:widowControl/>
              <w:spacing w:line="300" w:lineRule="exact"/>
              <w:jc w:val="both"/>
              <w:rPr>
                <w:rFonts w:ascii="华文楷体" w:hAnsi="华文楷体" w:eastAsia="华文楷体" w:cs="Arial"/>
                <w:sz w:val="24"/>
              </w:rPr>
            </w:pPr>
            <w:r>
              <w:rPr>
                <w:rFonts w:hint="eastAsia" w:ascii="华文楷体" w:hAnsi="华文楷体" w:eastAsia="华文楷体" w:cs="Arial"/>
                <w:sz w:val="24"/>
              </w:rPr>
              <w:t>申报材料</w:t>
            </w:r>
          </w:p>
        </w:tc>
        <w:tc>
          <w:tcPr>
            <w:tcW w:w="1279" w:type="dxa"/>
            <w:tcBorders>
              <w:top w:val="single" w:color="auto" w:sz="4" w:space="0"/>
              <w:right w:val="single" w:color="auto" w:sz="4" w:space="0"/>
            </w:tcBorders>
            <w:noWrap w:val="0"/>
            <w:vAlign w:val="center"/>
          </w:tcPr>
          <w:p w14:paraId="5B6D579E">
            <w:pPr>
              <w:spacing w:line="300" w:lineRule="exact"/>
              <w:jc w:val="both"/>
              <w:rPr>
                <w:rFonts w:ascii="华文楷体" w:hAnsi="华文楷体" w:eastAsia="华文楷体" w:cs="Times New Roman"/>
                <w:sz w:val="24"/>
              </w:rPr>
            </w:pPr>
            <w:r>
              <w:rPr>
                <w:rFonts w:hint="eastAsia" w:ascii="华文楷体" w:hAnsi="华文楷体" w:eastAsia="华文楷体" w:cs="Times New Roman"/>
                <w:sz w:val="24"/>
              </w:rPr>
              <w:t>设立分</w:t>
            </w:r>
          </w:p>
          <w:p w14:paraId="56848F3B">
            <w:pPr>
              <w:spacing w:line="300" w:lineRule="exact"/>
              <w:jc w:val="both"/>
              <w:rPr>
                <w:rFonts w:ascii="仿宋_GB2312" w:hAnsi="Times New Roman" w:cs="Times New Roman"/>
                <w:sz w:val="24"/>
              </w:rPr>
            </w:pPr>
            <w:r>
              <w:rPr>
                <w:rFonts w:hint="eastAsia" w:ascii="华文楷体" w:hAnsi="华文楷体" w:eastAsia="华文楷体" w:cs="Times New Roman"/>
                <w:sz w:val="24"/>
              </w:rPr>
              <w:t>支机构</w:t>
            </w:r>
          </w:p>
        </w:tc>
        <w:tc>
          <w:tcPr>
            <w:tcW w:w="6326" w:type="dxa"/>
            <w:tcBorders>
              <w:top w:val="single" w:color="auto" w:sz="4" w:space="0"/>
              <w:left w:val="single" w:color="auto" w:sz="4" w:space="0"/>
            </w:tcBorders>
            <w:noWrap w:val="0"/>
            <w:vAlign w:val="center"/>
          </w:tcPr>
          <w:p w14:paraId="2C1ED521">
            <w:pPr>
              <w:keepNext w:val="0"/>
              <w:keepLines w:val="0"/>
              <w:pageBreakBefore w:val="0"/>
              <w:widowControl/>
              <w:numPr>
                <w:ilvl w:val="0"/>
                <w:numId w:val="0"/>
              </w:numPr>
              <w:kinsoku/>
              <w:wordWrap/>
              <w:overflowPunct/>
              <w:topLinePunct w:val="0"/>
              <w:autoSpaceDE/>
              <w:autoSpaceDN/>
              <w:bidi w:val="0"/>
              <w:adjustRightInd/>
              <w:snapToGrid/>
              <w:spacing w:line="480" w:lineRule="exact"/>
              <w:ind w:firstLine="480" w:firstLineChars="200"/>
              <w:jc w:val="left"/>
              <w:textAlignment w:val="auto"/>
              <w:rPr>
                <w:rFonts w:hint="eastAsia" w:ascii="仿宋_GB2312" w:hAnsi="Times New Roman" w:cs="Times New Roman"/>
                <w:sz w:val="24"/>
                <w:lang w:bidi="ar"/>
              </w:rPr>
            </w:pPr>
            <w:r>
              <w:rPr>
                <w:rFonts w:hint="eastAsia" w:ascii="仿宋_GB2312" w:hAnsi="Times New Roman" w:cs="Times New Roman"/>
                <w:sz w:val="24"/>
                <w:lang w:val="en-US" w:eastAsia="zh-CN" w:bidi="ar"/>
              </w:rPr>
              <w:t>1、</w:t>
            </w:r>
            <w:r>
              <w:rPr>
                <w:rFonts w:hint="eastAsia" w:ascii="仿宋_GB2312" w:cs="Times New Roman"/>
                <w:sz w:val="24"/>
                <w:lang w:eastAsia="zh-CN" w:bidi="ar"/>
              </w:rPr>
              <w:t>福建省</w:t>
            </w:r>
            <w:r>
              <w:rPr>
                <w:rFonts w:hint="eastAsia" w:ascii="仿宋_GB2312" w:hAnsi="Times New Roman" w:cs="Times New Roman"/>
                <w:sz w:val="24"/>
                <w:lang w:bidi="ar"/>
              </w:rPr>
              <w:t>人力资源服务机构设立分支机构报告</w:t>
            </w:r>
            <w:r>
              <w:rPr>
                <w:rFonts w:hint="eastAsia" w:ascii="仿宋_GB2312" w:hAnsi="Times New Roman" w:cs="Times New Roman"/>
                <w:sz w:val="24"/>
                <w:lang w:eastAsia="zh-CN" w:bidi="ar"/>
              </w:rPr>
              <w:t>表</w:t>
            </w:r>
            <w:r>
              <w:rPr>
                <w:rFonts w:hint="eastAsia" w:ascii="仿宋_GB2312" w:hAnsi="Times New Roman" w:cs="Times New Roman"/>
                <w:sz w:val="24"/>
                <w:lang w:bidi="ar"/>
              </w:rPr>
              <w:t>；</w:t>
            </w:r>
          </w:p>
          <w:p w14:paraId="4CA1BB4D">
            <w:pPr>
              <w:keepNext w:val="0"/>
              <w:keepLines w:val="0"/>
              <w:pageBreakBefore w:val="0"/>
              <w:widowControl/>
              <w:numPr>
                <w:ilvl w:val="0"/>
                <w:numId w:val="0"/>
              </w:numPr>
              <w:kinsoku/>
              <w:wordWrap/>
              <w:overflowPunct/>
              <w:topLinePunct w:val="0"/>
              <w:autoSpaceDE/>
              <w:autoSpaceDN/>
              <w:bidi w:val="0"/>
              <w:adjustRightInd/>
              <w:snapToGrid/>
              <w:spacing w:line="480" w:lineRule="exact"/>
              <w:ind w:firstLine="480" w:firstLineChars="200"/>
              <w:jc w:val="left"/>
              <w:textAlignment w:val="auto"/>
              <w:rPr>
                <w:rFonts w:hint="eastAsia" w:ascii="仿宋_GB2312" w:hAnsi="Times New Roman" w:cs="Times New Roman"/>
                <w:sz w:val="24"/>
                <w:lang w:bidi="ar"/>
              </w:rPr>
            </w:pPr>
            <w:r>
              <w:rPr>
                <w:rFonts w:hint="eastAsia" w:ascii="仿宋_GB2312" w:hAnsi="Times New Roman" w:cs="Times New Roman"/>
                <w:sz w:val="24"/>
                <w:lang w:val="en-US" w:eastAsia="zh-CN" w:bidi="ar"/>
              </w:rPr>
              <w:t>2、</w:t>
            </w:r>
            <w:r>
              <w:rPr>
                <w:rFonts w:hint="eastAsia" w:ascii="仿宋_GB2312" w:hAnsi="Times New Roman" w:cs="Times New Roman"/>
                <w:sz w:val="24"/>
                <w:lang w:bidi="ar"/>
              </w:rPr>
              <w:t>营业执照;</w:t>
            </w:r>
          </w:p>
          <w:p w14:paraId="152F9EA9">
            <w:pPr>
              <w:keepNext w:val="0"/>
              <w:keepLines w:val="0"/>
              <w:pageBreakBefore w:val="0"/>
              <w:widowControl/>
              <w:numPr>
                <w:ilvl w:val="0"/>
                <w:numId w:val="0"/>
              </w:numPr>
              <w:kinsoku/>
              <w:wordWrap/>
              <w:overflowPunct/>
              <w:topLinePunct w:val="0"/>
              <w:autoSpaceDE/>
              <w:autoSpaceDN/>
              <w:bidi w:val="0"/>
              <w:adjustRightInd/>
              <w:snapToGrid/>
              <w:spacing w:line="480" w:lineRule="exact"/>
              <w:ind w:firstLine="480" w:firstLineChars="200"/>
              <w:jc w:val="left"/>
              <w:textAlignment w:val="auto"/>
              <w:rPr>
                <w:rFonts w:hint="eastAsia" w:ascii="仿宋_GB2312" w:hAnsi="Times New Roman" w:cs="Times New Roman"/>
                <w:sz w:val="24"/>
                <w:lang w:eastAsia="zh-CN" w:bidi="ar"/>
              </w:rPr>
            </w:pPr>
            <w:r>
              <w:rPr>
                <w:rFonts w:hint="eastAsia" w:ascii="仿宋_GB2312" w:hAnsi="Times New Roman" w:cs="Times New Roman"/>
                <w:sz w:val="24"/>
                <w:lang w:val="en-US" w:eastAsia="zh-CN" w:bidi="ar"/>
              </w:rPr>
              <w:t>3、</w:t>
            </w:r>
            <w:r>
              <w:rPr>
                <w:rFonts w:hint="eastAsia" w:ascii="仿宋_GB2312" w:hAnsi="Times New Roman" w:cs="Times New Roman"/>
                <w:sz w:val="24"/>
                <w:lang w:bidi="ar"/>
              </w:rPr>
              <w:t>办公场所（或者服务场所）房产所有权或者使用权证明</w:t>
            </w:r>
            <w:r>
              <w:rPr>
                <w:rFonts w:hint="eastAsia" w:ascii="仿宋_GB2312" w:hAnsi="Times New Roman" w:cs="Times New Roman"/>
                <w:sz w:val="24"/>
                <w:lang w:eastAsia="zh-CN" w:bidi="ar"/>
              </w:rPr>
              <w:t>，</w:t>
            </w:r>
            <w:r>
              <w:rPr>
                <w:rFonts w:hint="eastAsia" w:ascii="仿宋_GB2312" w:hAnsi="Times New Roman" w:cs="Times New Roman"/>
                <w:sz w:val="24"/>
                <w:lang w:bidi="ar"/>
              </w:rPr>
              <w:t>或不少于1年租赁期的场所租赁协议</w:t>
            </w:r>
            <w:r>
              <w:rPr>
                <w:rFonts w:hint="eastAsia" w:ascii="仿宋_GB2312" w:hAnsi="Times New Roman" w:cs="Times New Roman"/>
                <w:sz w:val="24"/>
                <w:lang w:eastAsia="zh-CN" w:bidi="ar"/>
              </w:rPr>
              <w:t>；</w:t>
            </w:r>
          </w:p>
          <w:p w14:paraId="05D04B9E">
            <w:pPr>
              <w:keepNext w:val="0"/>
              <w:keepLines w:val="0"/>
              <w:pageBreakBefore w:val="0"/>
              <w:widowControl/>
              <w:numPr>
                <w:ilvl w:val="0"/>
                <w:numId w:val="0"/>
              </w:numPr>
              <w:kinsoku/>
              <w:wordWrap/>
              <w:overflowPunct/>
              <w:topLinePunct w:val="0"/>
              <w:autoSpaceDE/>
              <w:autoSpaceDN/>
              <w:bidi w:val="0"/>
              <w:adjustRightInd/>
              <w:snapToGrid/>
              <w:spacing w:line="480" w:lineRule="exact"/>
              <w:ind w:firstLine="480" w:firstLineChars="200"/>
              <w:jc w:val="left"/>
              <w:textAlignment w:val="auto"/>
              <w:rPr>
                <w:rFonts w:ascii="Times New Roman" w:hAnsi="Times New Roman" w:cs="Times New Roman"/>
              </w:rPr>
            </w:pPr>
            <w:r>
              <w:rPr>
                <w:rFonts w:hint="eastAsia" w:ascii="仿宋_GB2312" w:hAnsi="Times New Roman" w:cs="Times New Roman"/>
                <w:sz w:val="24"/>
                <w:lang w:val="en-US" w:eastAsia="zh-CN" w:bidi="ar"/>
              </w:rPr>
              <w:t>4、设立该分支机构的</w:t>
            </w:r>
            <w:r>
              <w:rPr>
                <w:rFonts w:hint="eastAsia" w:ascii="仿宋_GB2312" w:hAnsi="Times New Roman" w:cs="Times New Roman"/>
                <w:sz w:val="24"/>
                <w:lang w:bidi="ar"/>
              </w:rPr>
              <w:t>经营性人力资源服务机构</w:t>
            </w:r>
            <w:r>
              <w:rPr>
                <w:rFonts w:hint="eastAsia" w:ascii="仿宋_GB2312" w:hAnsi="Times New Roman" w:cs="Times New Roman"/>
                <w:sz w:val="24"/>
                <w:lang w:eastAsia="zh-CN" w:bidi="ar"/>
              </w:rPr>
              <w:t>的人力资源服务许可证或人力资源服务业务备案凭证。</w:t>
            </w:r>
          </w:p>
        </w:tc>
      </w:tr>
      <w:tr w14:paraId="47B1EF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27" w:hRule="atLeast"/>
          <w:jc w:val="center"/>
        </w:trPr>
        <w:tc>
          <w:tcPr>
            <w:tcW w:w="827" w:type="dxa"/>
            <w:vMerge w:val="continue"/>
            <w:noWrap w:val="0"/>
            <w:vAlign w:val="center"/>
          </w:tcPr>
          <w:p w14:paraId="5445AC8E">
            <w:pPr>
              <w:widowControl/>
              <w:spacing w:line="240" w:lineRule="atLeast"/>
              <w:jc w:val="center"/>
              <w:rPr>
                <w:rFonts w:ascii="仿宋_GB2312" w:hAnsi="Times New Roman" w:cs="宋体"/>
                <w:kern w:val="0"/>
                <w:sz w:val="24"/>
              </w:rPr>
            </w:pPr>
          </w:p>
        </w:tc>
        <w:tc>
          <w:tcPr>
            <w:tcW w:w="1260" w:type="dxa"/>
            <w:vMerge w:val="continue"/>
            <w:noWrap w:val="0"/>
            <w:vAlign w:val="center"/>
          </w:tcPr>
          <w:p w14:paraId="24EFFCC9">
            <w:pPr>
              <w:widowControl/>
              <w:spacing w:line="240" w:lineRule="atLeast"/>
              <w:jc w:val="both"/>
              <w:rPr>
                <w:rFonts w:ascii="仿宋_GB2312" w:hAnsi="Times New Roman" w:cs="Arial"/>
                <w:sz w:val="24"/>
              </w:rPr>
            </w:pPr>
          </w:p>
        </w:tc>
        <w:tc>
          <w:tcPr>
            <w:tcW w:w="1279" w:type="dxa"/>
            <w:tcBorders>
              <w:top w:val="single" w:color="auto" w:sz="4" w:space="0"/>
              <w:bottom w:val="single" w:color="auto" w:sz="4" w:space="0"/>
              <w:right w:val="single" w:color="auto" w:sz="4" w:space="0"/>
            </w:tcBorders>
            <w:noWrap w:val="0"/>
            <w:vAlign w:val="center"/>
          </w:tcPr>
          <w:p w14:paraId="3958A076">
            <w:pPr>
              <w:widowControl/>
              <w:spacing w:line="300" w:lineRule="exact"/>
              <w:jc w:val="both"/>
              <w:rPr>
                <w:rFonts w:hint="eastAsia" w:ascii="华文楷体" w:hAnsi="华文楷体" w:eastAsia="华文楷体" w:cs="Times New Roman"/>
                <w:sz w:val="24"/>
                <w:lang w:eastAsia="zh-CN"/>
              </w:rPr>
            </w:pPr>
            <w:r>
              <w:rPr>
                <w:rFonts w:hint="eastAsia" w:ascii="华文楷体" w:hAnsi="华文楷体" w:eastAsia="华文楷体" w:cs="Times New Roman"/>
                <w:sz w:val="24"/>
              </w:rPr>
              <w:t>变更名称、住所、法定代表人</w:t>
            </w:r>
          </w:p>
        </w:tc>
        <w:tc>
          <w:tcPr>
            <w:tcW w:w="6326" w:type="dxa"/>
            <w:tcBorders>
              <w:top w:val="single" w:color="auto" w:sz="4" w:space="0"/>
              <w:left w:val="single" w:color="auto" w:sz="4" w:space="0"/>
              <w:bottom w:val="single" w:color="auto" w:sz="4" w:space="0"/>
            </w:tcBorders>
            <w:noWrap w:val="0"/>
            <w:vAlign w:val="center"/>
          </w:tcPr>
          <w:p w14:paraId="05357BE8">
            <w:pPr>
              <w:keepNext w:val="0"/>
              <w:keepLines w:val="0"/>
              <w:pageBreakBefore w:val="0"/>
              <w:widowControl/>
              <w:numPr>
                <w:ilvl w:val="0"/>
                <w:numId w:val="0"/>
              </w:numPr>
              <w:kinsoku/>
              <w:wordWrap/>
              <w:overflowPunct/>
              <w:topLinePunct w:val="0"/>
              <w:autoSpaceDE/>
              <w:autoSpaceDN/>
              <w:bidi w:val="0"/>
              <w:adjustRightInd/>
              <w:snapToGrid/>
              <w:spacing w:line="480" w:lineRule="exact"/>
              <w:ind w:firstLine="480" w:firstLineChars="200"/>
              <w:jc w:val="left"/>
              <w:textAlignment w:val="auto"/>
              <w:rPr>
                <w:rFonts w:hint="eastAsia" w:ascii="仿宋_GB2312" w:hAnsi="Times New Roman" w:cs="Times New Roman"/>
                <w:sz w:val="24"/>
                <w:lang w:val="en-US" w:eastAsia="zh-CN" w:bidi="ar"/>
              </w:rPr>
            </w:pPr>
            <w:r>
              <w:rPr>
                <w:rFonts w:hint="eastAsia" w:ascii="仿宋_GB2312" w:hAnsi="Times New Roman" w:cs="Times New Roman"/>
                <w:sz w:val="24"/>
                <w:lang w:val="en-US" w:eastAsia="zh-CN" w:bidi="ar"/>
              </w:rPr>
              <w:t>1、</w:t>
            </w:r>
            <w:r>
              <w:rPr>
                <w:rFonts w:hint="eastAsia" w:ascii="仿宋_GB2312" w:cs="Times New Roman"/>
                <w:sz w:val="24"/>
                <w:lang w:val="en-US" w:eastAsia="zh-CN" w:bidi="ar"/>
              </w:rPr>
              <w:t>福建省</w:t>
            </w:r>
            <w:r>
              <w:rPr>
                <w:rFonts w:hint="eastAsia" w:ascii="仿宋_GB2312" w:hAnsi="Times New Roman" w:cs="Times New Roman"/>
                <w:sz w:val="24"/>
                <w:lang w:val="en-US" w:eastAsia="zh-CN" w:bidi="ar"/>
              </w:rPr>
              <w:t>人力资源服务机构变更（注销）报告表；</w:t>
            </w:r>
          </w:p>
          <w:p w14:paraId="4F0F2D59">
            <w:pPr>
              <w:keepNext w:val="0"/>
              <w:keepLines w:val="0"/>
              <w:pageBreakBefore w:val="0"/>
              <w:widowControl/>
              <w:numPr>
                <w:ilvl w:val="0"/>
                <w:numId w:val="0"/>
              </w:numPr>
              <w:kinsoku/>
              <w:wordWrap/>
              <w:overflowPunct/>
              <w:topLinePunct w:val="0"/>
              <w:autoSpaceDE/>
              <w:autoSpaceDN/>
              <w:bidi w:val="0"/>
              <w:adjustRightInd/>
              <w:snapToGrid/>
              <w:spacing w:line="480" w:lineRule="exact"/>
              <w:ind w:firstLine="480" w:firstLineChars="200"/>
              <w:jc w:val="left"/>
              <w:textAlignment w:val="auto"/>
              <w:rPr>
                <w:rFonts w:hint="eastAsia" w:ascii="仿宋_GB2312" w:hAnsi="Times New Roman" w:cs="Times New Roman"/>
                <w:sz w:val="24"/>
                <w:lang w:val="en-US" w:eastAsia="zh-CN" w:bidi="ar"/>
              </w:rPr>
            </w:pPr>
            <w:r>
              <w:rPr>
                <w:rFonts w:hint="eastAsia" w:ascii="仿宋_GB2312" w:hAnsi="Times New Roman" w:cs="Times New Roman"/>
                <w:sz w:val="24"/>
                <w:lang w:val="en-US" w:eastAsia="zh-CN" w:bidi="ar"/>
              </w:rPr>
              <w:t>2、营业执照。</w:t>
            </w:r>
          </w:p>
          <w:p w14:paraId="5CF09B8A">
            <w:pPr>
              <w:keepNext w:val="0"/>
              <w:keepLines w:val="0"/>
              <w:pageBreakBefore w:val="0"/>
              <w:widowControl/>
              <w:numPr>
                <w:ilvl w:val="0"/>
                <w:numId w:val="0"/>
              </w:numPr>
              <w:kinsoku/>
              <w:wordWrap/>
              <w:overflowPunct/>
              <w:topLinePunct w:val="0"/>
              <w:autoSpaceDE/>
              <w:autoSpaceDN/>
              <w:bidi w:val="0"/>
              <w:adjustRightInd/>
              <w:snapToGrid/>
              <w:spacing w:line="480" w:lineRule="exact"/>
              <w:ind w:firstLine="482" w:firstLineChars="200"/>
              <w:jc w:val="left"/>
              <w:textAlignment w:val="auto"/>
              <w:rPr>
                <w:rFonts w:hint="eastAsia" w:ascii="仿宋_GB2312" w:hAnsi="Times New Roman" w:cs="Times New Roman"/>
                <w:sz w:val="24"/>
                <w:lang w:val="en-US" w:eastAsia="zh-CN" w:bidi="ar"/>
              </w:rPr>
            </w:pPr>
            <w:r>
              <w:rPr>
                <w:rFonts w:hint="eastAsia" w:ascii="仿宋_GB2312" w:hAnsi="Times New Roman" w:cs="Times New Roman"/>
                <w:b/>
                <w:bCs/>
                <w:sz w:val="24"/>
                <w:lang w:val="en-US" w:eastAsia="zh-CN" w:bidi="ar"/>
              </w:rPr>
              <w:t>变更住所还需提供：</w:t>
            </w:r>
            <w:r>
              <w:rPr>
                <w:rFonts w:hint="eastAsia" w:ascii="仿宋_GB2312" w:hAnsi="Times New Roman" w:cs="Times New Roman"/>
                <w:sz w:val="24"/>
                <w:lang w:val="en-US" w:eastAsia="zh-CN" w:bidi="ar"/>
              </w:rPr>
              <w:t>办公场所（或者服务场所）房产所有权或使用权证明，或不少于1年租赁期的场所租赁协议。</w:t>
            </w:r>
          </w:p>
          <w:p w14:paraId="370BE769">
            <w:pPr>
              <w:keepNext w:val="0"/>
              <w:keepLines w:val="0"/>
              <w:pageBreakBefore w:val="0"/>
              <w:widowControl/>
              <w:numPr>
                <w:ilvl w:val="0"/>
                <w:numId w:val="0"/>
              </w:numPr>
              <w:kinsoku/>
              <w:wordWrap/>
              <w:overflowPunct/>
              <w:topLinePunct w:val="0"/>
              <w:autoSpaceDE/>
              <w:autoSpaceDN/>
              <w:bidi w:val="0"/>
              <w:adjustRightInd/>
              <w:snapToGrid/>
              <w:spacing w:line="480" w:lineRule="exact"/>
              <w:ind w:firstLine="482" w:firstLineChars="200"/>
              <w:jc w:val="left"/>
              <w:textAlignment w:val="auto"/>
              <w:rPr>
                <w:rFonts w:hint="default" w:ascii="Times New Roman" w:hAnsi="Times New Roman" w:cs="Times New Roman"/>
                <w:lang w:val="en-US" w:eastAsia="zh-CN"/>
              </w:rPr>
            </w:pPr>
            <w:r>
              <w:rPr>
                <w:rFonts w:hint="eastAsia" w:ascii="仿宋_GB2312" w:hAnsi="Times New Roman" w:cs="Times New Roman"/>
                <w:b/>
                <w:bCs/>
                <w:sz w:val="24"/>
                <w:lang w:val="en-US" w:eastAsia="zh-CN" w:bidi="ar"/>
              </w:rPr>
              <w:t>变更法定代表人还需提供:</w:t>
            </w:r>
            <w:r>
              <w:rPr>
                <w:rFonts w:hint="eastAsia" w:ascii="仿宋_GB2312" w:hAnsi="Times New Roman" w:cs="Times New Roman"/>
                <w:sz w:val="24"/>
                <w:lang w:val="en-US" w:eastAsia="zh-CN" w:bidi="ar"/>
              </w:rPr>
              <w:t>法定代表人身份证明。</w:t>
            </w:r>
          </w:p>
        </w:tc>
      </w:tr>
      <w:tr w14:paraId="0D1D89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318" w:hRule="atLeast"/>
          <w:jc w:val="center"/>
        </w:trPr>
        <w:tc>
          <w:tcPr>
            <w:tcW w:w="827" w:type="dxa"/>
            <w:vMerge w:val="continue"/>
            <w:noWrap w:val="0"/>
            <w:vAlign w:val="center"/>
          </w:tcPr>
          <w:p w14:paraId="6588441E">
            <w:pPr>
              <w:widowControl/>
              <w:spacing w:line="240" w:lineRule="atLeast"/>
              <w:jc w:val="center"/>
              <w:rPr>
                <w:rFonts w:ascii="仿宋_GB2312" w:hAnsi="Times New Roman" w:cs="宋体"/>
                <w:kern w:val="0"/>
                <w:sz w:val="24"/>
              </w:rPr>
            </w:pPr>
          </w:p>
        </w:tc>
        <w:tc>
          <w:tcPr>
            <w:tcW w:w="1260" w:type="dxa"/>
            <w:vMerge w:val="continue"/>
            <w:noWrap w:val="0"/>
            <w:vAlign w:val="center"/>
          </w:tcPr>
          <w:p w14:paraId="27D92563">
            <w:pPr>
              <w:widowControl/>
              <w:spacing w:line="240" w:lineRule="atLeast"/>
              <w:jc w:val="both"/>
              <w:rPr>
                <w:rFonts w:ascii="仿宋_GB2312" w:hAnsi="Times New Roman" w:cs="Arial"/>
                <w:sz w:val="24"/>
              </w:rPr>
            </w:pPr>
          </w:p>
        </w:tc>
        <w:tc>
          <w:tcPr>
            <w:tcW w:w="1279" w:type="dxa"/>
            <w:tcBorders>
              <w:top w:val="single" w:color="auto" w:sz="4" w:space="0"/>
              <w:right w:val="single" w:color="auto" w:sz="4" w:space="0"/>
            </w:tcBorders>
            <w:noWrap w:val="0"/>
            <w:vAlign w:val="center"/>
          </w:tcPr>
          <w:p w14:paraId="0CDF632B">
            <w:pPr>
              <w:spacing w:line="240" w:lineRule="atLeast"/>
              <w:jc w:val="both"/>
              <w:rPr>
                <w:rFonts w:ascii="华文楷体" w:hAnsi="华文楷体" w:eastAsia="华文楷体" w:cs="Times New Roman"/>
                <w:sz w:val="24"/>
              </w:rPr>
            </w:pPr>
            <w:r>
              <w:rPr>
                <w:rFonts w:hint="eastAsia" w:ascii="华文楷体" w:hAnsi="华文楷体" w:eastAsia="华文楷体" w:cs="Times New Roman"/>
                <w:sz w:val="24"/>
              </w:rPr>
              <w:t>终止经营</w:t>
            </w:r>
          </w:p>
        </w:tc>
        <w:tc>
          <w:tcPr>
            <w:tcW w:w="6326" w:type="dxa"/>
            <w:tcBorders>
              <w:top w:val="single" w:color="auto" w:sz="4" w:space="0"/>
              <w:left w:val="single" w:color="auto" w:sz="4" w:space="0"/>
              <w:bottom w:val="single" w:color="auto" w:sz="4" w:space="0"/>
            </w:tcBorders>
            <w:noWrap w:val="0"/>
            <w:vAlign w:val="center"/>
          </w:tcPr>
          <w:p w14:paraId="77AC13CF">
            <w:pPr>
              <w:keepNext w:val="0"/>
              <w:keepLines w:val="0"/>
              <w:pageBreakBefore w:val="0"/>
              <w:widowControl/>
              <w:numPr>
                <w:ilvl w:val="0"/>
                <w:numId w:val="0"/>
              </w:numPr>
              <w:kinsoku/>
              <w:wordWrap/>
              <w:overflowPunct/>
              <w:topLinePunct w:val="0"/>
              <w:autoSpaceDE/>
              <w:autoSpaceDN/>
              <w:bidi w:val="0"/>
              <w:adjustRightInd/>
              <w:snapToGrid/>
              <w:spacing w:line="480" w:lineRule="exact"/>
              <w:ind w:firstLine="480" w:firstLineChars="200"/>
              <w:jc w:val="left"/>
              <w:textAlignment w:val="auto"/>
              <w:rPr>
                <w:rFonts w:hint="eastAsia" w:ascii="仿宋_GB2312" w:hAnsi="Times New Roman" w:cs="Times New Roman"/>
                <w:sz w:val="24"/>
                <w:lang w:bidi="ar"/>
              </w:rPr>
            </w:pPr>
            <w:r>
              <w:rPr>
                <w:rFonts w:hint="eastAsia" w:ascii="仿宋_GB2312" w:hAnsi="Times New Roman" w:cs="Times New Roman"/>
                <w:sz w:val="24"/>
                <w:lang w:val="en-US" w:eastAsia="zh-CN" w:bidi="ar"/>
              </w:rPr>
              <w:t>1、</w:t>
            </w:r>
            <w:r>
              <w:rPr>
                <w:rFonts w:hint="eastAsia" w:ascii="仿宋_GB2312" w:cs="Times New Roman"/>
                <w:sz w:val="24"/>
                <w:lang w:eastAsia="zh-CN" w:bidi="ar"/>
              </w:rPr>
              <w:t>福建省</w:t>
            </w:r>
            <w:r>
              <w:rPr>
                <w:rFonts w:hint="eastAsia" w:ascii="仿宋_GB2312" w:hAnsi="Times New Roman" w:cs="Times New Roman"/>
                <w:sz w:val="24"/>
                <w:lang w:bidi="ar"/>
              </w:rPr>
              <w:t>人力资源服务机构变更（注销）</w:t>
            </w:r>
            <w:r>
              <w:rPr>
                <w:rFonts w:hint="eastAsia" w:ascii="仿宋_GB2312" w:hAnsi="Times New Roman" w:cs="Times New Roman"/>
                <w:sz w:val="24"/>
                <w:lang w:eastAsia="zh-CN" w:bidi="ar"/>
              </w:rPr>
              <w:t>报告表</w:t>
            </w:r>
            <w:r>
              <w:rPr>
                <w:rFonts w:hint="eastAsia" w:ascii="仿宋_GB2312" w:hAnsi="Times New Roman" w:cs="Times New Roman"/>
                <w:sz w:val="24"/>
                <w:lang w:bidi="ar"/>
              </w:rPr>
              <w:t>；</w:t>
            </w:r>
          </w:p>
          <w:p w14:paraId="43579619">
            <w:pPr>
              <w:keepNext w:val="0"/>
              <w:keepLines w:val="0"/>
              <w:pageBreakBefore w:val="0"/>
              <w:widowControl/>
              <w:numPr>
                <w:ilvl w:val="0"/>
                <w:numId w:val="0"/>
              </w:numPr>
              <w:kinsoku/>
              <w:wordWrap/>
              <w:overflowPunct/>
              <w:topLinePunct w:val="0"/>
              <w:autoSpaceDE/>
              <w:autoSpaceDN/>
              <w:bidi w:val="0"/>
              <w:adjustRightInd/>
              <w:snapToGrid/>
              <w:spacing w:line="480" w:lineRule="exact"/>
              <w:ind w:firstLine="480" w:firstLineChars="200"/>
              <w:jc w:val="left"/>
              <w:textAlignment w:val="auto"/>
              <w:rPr>
                <w:rFonts w:ascii="仿宋_GB2312" w:hAnsi="Times New Roman" w:cs="Times New Roman"/>
                <w:bCs/>
                <w:color w:val="000000"/>
                <w:sz w:val="24"/>
              </w:rPr>
            </w:pPr>
            <w:r>
              <w:rPr>
                <w:rFonts w:hint="eastAsia" w:ascii="仿宋_GB2312" w:hAnsi="Times New Roman" w:cs="Times New Roman"/>
                <w:sz w:val="24"/>
                <w:lang w:val="en-US" w:eastAsia="zh-CN" w:bidi="ar"/>
              </w:rPr>
              <w:t>2、市场主体已依法办理注销登记的证明材料，或市场主体已依法办理经营范围变更登记，取消开展人力资源服务业务相关经营范围的证明材料</w:t>
            </w:r>
            <w:r>
              <w:rPr>
                <w:rFonts w:hint="eastAsia" w:ascii="仿宋_GB2312" w:hAnsi="Times New Roman" w:cs="Times New Roman"/>
                <w:sz w:val="24"/>
                <w:lang w:bidi="ar"/>
              </w:rPr>
              <w:t>。</w:t>
            </w:r>
          </w:p>
        </w:tc>
      </w:tr>
      <w:tr w14:paraId="677CCF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67" w:hRule="atLeast"/>
          <w:jc w:val="center"/>
        </w:trPr>
        <w:tc>
          <w:tcPr>
            <w:tcW w:w="827" w:type="dxa"/>
            <w:noWrap w:val="0"/>
            <w:vAlign w:val="center"/>
          </w:tcPr>
          <w:p w14:paraId="1CC90227">
            <w:pPr>
              <w:widowControl/>
              <w:spacing w:line="240" w:lineRule="atLeast"/>
              <w:jc w:val="center"/>
              <w:rPr>
                <w:rFonts w:ascii="华文楷体" w:hAnsi="华文楷体" w:eastAsia="华文楷体" w:cs="宋体"/>
                <w:kern w:val="0"/>
                <w:sz w:val="24"/>
              </w:rPr>
            </w:pPr>
            <w:r>
              <w:rPr>
                <w:rFonts w:hint="eastAsia" w:ascii="华文楷体" w:hAnsi="华文楷体" w:eastAsia="华文楷体" w:cs="宋体"/>
                <w:kern w:val="0"/>
                <w:sz w:val="24"/>
              </w:rPr>
              <w:t>5</w:t>
            </w:r>
          </w:p>
        </w:tc>
        <w:tc>
          <w:tcPr>
            <w:tcW w:w="1260" w:type="dxa"/>
            <w:noWrap w:val="0"/>
            <w:vAlign w:val="center"/>
          </w:tcPr>
          <w:p w14:paraId="1D2AB570">
            <w:pPr>
              <w:widowControl/>
              <w:spacing w:line="240" w:lineRule="exact"/>
              <w:jc w:val="both"/>
              <w:rPr>
                <w:rFonts w:ascii="仿宋_GB2312" w:hAnsi="Times New Roman" w:cs="宋体"/>
                <w:kern w:val="0"/>
                <w:sz w:val="24"/>
              </w:rPr>
            </w:pPr>
            <w:r>
              <w:rPr>
                <w:rFonts w:hint="eastAsia" w:ascii="华文楷体" w:hAnsi="华文楷体" w:eastAsia="华文楷体" w:cs="宋体"/>
                <w:kern w:val="0"/>
                <w:sz w:val="24"/>
              </w:rPr>
              <w:t>申报条件及标准</w:t>
            </w:r>
          </w:p>
        </w:tc>
        <w:tc>
          <w:tcPr>
            <w:tcW w:w="7605" w:type="dxa"/>
            <w:gridSpan w:val="2"/>
            <w:noWrap w:val="0"/>
            <w:vAlign w:val="center"/>
          </w:tcPr>
          <w:p w14:paraId="59BBF51C">
            <w:pPr>
              <w:keepNext w:val="0"/>
              <w:keepLines w:val="0"/>
              <w:pageBreakBefore w:val="0"/>
              <w:widowControl/>
              <w:numPr>
                <w:ilvl w:val="0"/>
                <w:numId w:val="0"/>
              </w:numPr>
              <w:kinsoku/>
              <w:wordWrap/>
              <w:overflowPunct/>
              <w:topLinePunct w:val="0"/>
              <w:autoSpaceDE/>
              <w:autoSpaceDN/>
              <w:bidi w:val="0"/>
              <w:adjustRightInd/>
              <w:snapToGrid/>
              <w:spacing w:line="480" w:lineRule="exact"/>
              <w:ind w:firstLine="480" w:firstLineChars="200"/>
              <w:jc w:val="left"/>
              <w:textAlignment w:val="auto"/>
              <w:rPr>
                <w:rFonts w:ascii="仿宋_GB2312" w:hAnsi="Times New Roman" w:cs="宋体"/>
                <w:kern w:val="0"/>
                <w:sz w:val="24"/>
              </w:rPr>
            </w:pPr>
            <w:r>
              <w:rPr>
                <w:rFonts w:hint="eastAsia" w:ascii="仿宋_GB2312" w:hAnsi="Times New Roman" w:cs="Times New Roman"/>
                <w:sz w:val="24"/>
                <w:lang w:bidi="ar"/>
              </w:rPr>
              <w:t>经营性人力资源服务机构设立分支机构的，应当自工商登记办理完毕之日起15日内，书面报告分支机构所在地人力资源社会保障行政部门。变更名称、住所、法定代表人或者终止经营的，应当自工商变更登记或者注销登记办理完毕之日起15日内，书面报告人力资源社会保障行政部门。</w:t>
            </w:r>
          </w:p>
        </w:tc>
      </w:tr>
      <w:tr w14:paraId="7674A2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28" w:hRule="atLeast"/>
          <w:jc w:val="center"/>
        </w:trPr>
        <w:tc>
          <w:tcPr>
            <w:tcW w:w="827" w:type="dxa"/>
            <w:tcBorders>
              <w:bottom w:val="single" w:color="auto" w:sz="4" w:space="0"/>
            </w:tcBorders>
            <w:noWrap w:val="0"/>
            <w:vAlign w:val="center"/>
          </w:tcPr>
          <w:p w14:paraId="5D8FD822">
            <w:pPr>
              <w:widowControl/>
              <w:spacing w:line="240" w:lineRule="atLeast"/>
              <w:jc w:val="center"/>
              <w:rPr>
                <w:rFonts w:hint="eastAsia" w:ascii="华文楷体" w:hAnsi="华文楷体" w:eastAsia="华文楷体" w:cs="宋体"/>
                <w:kern w:val="0"/>
                <w:sz w:val="24"/>
                <w:lang w:eastAsia="zh-CN"/>
              </w:rPr>
            </w:pPr>
            <w:r>
              <w:rPr>
                <w:rFonts w:hint="eastAsia" w:ascii="华文楷体" w:hAnsi="华文楷体" w:eastAsia="华文楷体" w:cs="宋体"/>
                <w:kern w:val="0"/>
                <w:sz w:val="24"/>
                <w:lang w:val="en-US" w:eastAsia="zh-CN"/>
              </w:rPr>
              <w:t>6</w:t>
            </w:r>
          </w:p>
        </w:tc>
        <w:tc>
          <w:tcPr>
            <w:tcW w:w="1260" w:type="dxa"/>
            <w:tcBorders>
              <w:bottom w:val="single" w:color="auto" w:sz="4" w:space="0"/>
            </w:tcBorders>
            <w:noWrap w:val="0"/>
            <w:vAlign w:val="center"/>
          </w:tcPr>
          <w:p w14:paraId="0B5DF86E">
            <w:pPr>
              <w:widowControl/>
              <w:spacing w:line="240" w:lineRule="atLeast"/>
              <w:jc w:val="both"/>
              <w:rPr>
                <w:rFonts w:ascii="华文楷体" w:hAnsi="华文楷体" w:eastAsia="华文楷体" w:cs="宋体"/>
                <w:kern w:val="0"/>
                <w:sz w:val="24"/>
              </w:rPr>
            </w:pPr>
            <w:r>
              <w:rPr>
                <w:rFonts w:hint="eastAsia" w:ascii="华文楷体" w:hAnsi="华文楷体" w:eastAsia="华文楷体" w:cs="宋体"/>
                <w:kern w:val="0"/>
                <w:sz w:val="24"/>
              </w:rPr>
              <w:t>办理流程</w:t>
            </w:r>
          </w:p>
        </w:tc>
        <w:tc>
          <w:tcPr>
            <w:tcW w:w="7605" w:type="dxa"/>
            <w:gridSpan w:val="2"/>
            <w:tcBorders>
              <w:top w:val="single" w:color="auto" w:sz="4" w:space="0"/>
              <w:bottom w:val="single" w:color="auto" w:sz="4" w:space="0"/>
            </w:tcBorders>
            <w:noWrap w:val="0"/>
            <w:vAlign w:val="center"/>
          </w:tcPr>
          <w:p w14:paraId="616963FB">
            <w:pPr>
              <w:jc w:val="both"/>
              <w:rPr>
                <w:rFonts w:ascii="仿宋_GB2312" w:hAnsi="宋体" w:cs="宋体"/>
                <w:color w:val="000000"/>
                <w:sz w:val="24"/>
              </w:rPr>
            </w:pPr>
            <w:r>
              <w:rPr>
                <w:rFonts w:hint="eastAsia" w:ascii="仿宋_GB2312" w:hAnsi="宋体" w:cs="宋体"/>
                <w:color w:val="000000"/>
                <w:sz w:val="24"/>
              </w:rPr>
              <w:t>受理-审核-办结</w:t>
            </w:r>
          </w:p>
        </w:tc>
      </w:tr>
      <w:tr w14:paraId="2A0433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94" w:hRule="atLeast"/>
          <w:jc w:val="center"/>
        </w:trPr>
        <w:tc>
          <w:tcPr>
            <w:tcW w:w="827" w:type="dxa"/>
            <w:tcBorders>
              <w:top w:val="single" w:color="auto" w:sz="4" w:space="0"/>
              <w:bottom w:val="single" w:color="auto" w:sz="4" w:space="0"/>
            </w:tcBorders>
            <w:noWrap w:val="0"/>
            <w:vAlign w:val="center"/>
          </w:tcPr>
          <w:p w14:paraId="71967348">
            <w:pPr>
              <w:spacing w:line="240" w:lineRule="atLeast"/>
              <w:jc w:val="center"/>
              <w:rPr>
                <w:rFonts w:hint="eastAsia" w:ascii="华文楷体" w:hAnsi="华文楷体" w:eastAsia="华文楷体" w:cs="宋体"/>
                <w:kern w:val="0"/>
                <w:sz w:val="24"/>
                <w:lang w:eastAsia="zh-CN"/>
              </w:rPr>
            </w:pPr>
            <w:r>
              <w:rPr>
                <w:rFonts w:hint="eastAsia" w:ascii="华文楷体" w:hAnsi="华文楷体" w:eastAsia="华文楷体" w:cs="宋体"/>
                <w:kern w:val="0"/>
                <w:sz w:val="24"/>
                <w:lang w:val="en-US" w:eastAsia="zh-CN"/>
              </w:rPr>
              <w:t>7</w:t>
            </w:r>
          </w:p>
        </w:tc>
        <w:tc>
          <w:tcPr>
            <w:tcW w:w="1260" w:type="dxa"/>
            <w:tcBorders>
              <w:top w:val="single" w:color="auto" w:sz="4" w:space="0"/>
              <w:bottom w:val="single" w:color="auto" w:sz="4" w:space="0"/>
            </w:tcBorders>
            <w:noWrap w:val="0"/>
            <w:vAlign w:val="center"/>
          </w:tcPr>
          <w:p w14:paraId="12259A17">
            <w:pPr>
              <w:spacing w:line="220" w:lineRule="exact"/>
              <w:jc w:val="both"/>
              <w:rPr>
                <w:rFonts w:hint="eastAsia" w:ascii="华文楷体" w:hAnsi="华文楷体" w:eastAsia="华文楷体" w:cs="宋体"/>
                <w:kern w:val="0"/>
                <w:sz w:val="24"/>
                <w:lang w:eastAsia="zh-CN"/>
              </w:rPr>
            </w:pPr>
            <w:r>
              <w:rPr>
                <w:rFonts w:hint="eastAsia" w:ascii="华文楷体" w:hAnsi="华文楷体" w:eastAsia="华文楷体" w:cs="宋体"/>
                <w:kern w:val="0"/>
                <w:sz w:val="24"/>
                <w:lang w:eastAsia="zh-CN"/>
              </w:rPr>
              <w:t>法定时限</w:t>
            </w:r>
          </w:p>
        </w:tc>
        <w:tc>
          <w:tcPr>
            <w:tcW w:w="7605" w:type="dxa"/>
            <w:gridSpan w:val="2"/>
            <w:tcBorders>
              <w:top w:val="single" w:color="auto" w:sz="4" w:space="0"/>
              <w:bottom w:val="single" w:color="auto" w:sz="4" w:space="0"/>
            </w:tcBorders>
            <w:noWrap w:val="0"/>
            <w:vAlign w:val="center"/>
          </w:tcPr>
          <w:p w14:paraId="0AD00782">
            <w:pPr>
              <w:spacing w:line="240" w:lineRule="atLeast"/>
              <w:jc w:val="both"/>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w:t>
            </w:r>
          </w:p>
        </w:tc>
      </w:tr>
      <w:tr w14:paraId="7C4BF3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94" w:hRule="atLeast"/>
          <w:jc w:val="center"/>
        </w:trPr>
        <w:tc>
          <w:tcPr>
            <w:tcW w:w="827" w:type="dxa"/>
            <w:tcBorders>
              <w:top w:val="single" w:color="auto" w:sz="4" w:space="0"/>
              <w:bottom w:val="single" w:color="auto" w:sz="4" w:space="0"/>
            </w:tcBorders>
            <w:noWrap w:val="0"/>
            <w:vAlign w:val="center"/>
          </w:tcPr>
          <w:p w14:paraId="26C6181B">
            <w:pPr>
              <w:spacing w:line="240" w:lineRule="atLeast"/>
              <w:jc w:val="center"/>
              <w:rPr>
                <w:rFonts w:hint="eastAsia" w:ascii="华文楷体" w:hAnsi="华文楷体" w:eastAsia="华文楷体" w:cs="宋体"/>
                <w:kern w:val="0"/>
                <w:sz w:val="24"/>
                <w:lang w:val="en-US" w:eastAsia="zh-CN"/>
              </w:rPr>
            </w:pPr>
            <w:r>
              <w:rPr>
                <w:rFonts w:hint="eastAsia" w:ascii="华文楷体" w:hAnsi="华文楷体" w:eastAsia="华文楷体" w:cs="宋体"/>
                <w:kern w:val="0"/>
                <w:sz w:val="24"/>
                <w:lang w:val="en-US" w:eastAsia="zh-CN"/>
              </w:rPr>
              <w:t>8</w:t>
            </w:r>
          </w:p>
        </w:tc>
        <w:tc>
          <w:tcPr>
            <w:tcW w:w="1260" w:type="dxa"/>
            <w:tcBorders>
              <w:top w:val="single" w:color="auto" w:sz="4" w:space="0"/>
              <w:bottom w:val="single" w:color="auto" w:sz="4" w:space="0"/>
            </w:tcBorders>
            <w:noWrap w:val="0"/>
            <w:vAlign w:val="center"/>
          </w:tcPr>
          <w:p w14:paraId="29D6F15D">
            <w:pPr>
              <w:spacing w:line="220" w:lineRule="exact"/>
              <w:jc w:val="both"/>
              <w:rPr>
                <w:rFonts w:hint="eastAsia" w:ascii="华文楷体" w:hAnsi="华文楷体" w:eastAsia="华文楷体" w:cs="宋体"/>
                <w:kern w:val="0"/>
                <w:sz w:val="24"/>
                <w:lang w:eastAsia="zh-CN"/>
              </w:rPr>
            </w:pPr>
            <w:r>
              <w:rPr>
                <w:rFonts w:hint="eastAsia" w:ascii="华文楷体" w:hAnsi="华文楷体" w:eastAsia="华文楷体" w:cs="宋体"/>
                <w:kern w:val="0"/>
                <w:sz w:val="24"/>
                <w:lang w:eastAsia="zh-CN"/>
              </w:rPr>
              <w:t>办理时限</w:t>
            </w:r>
          </w:p>
        </w:tc>
        <w:tc>
          <w:tcPr>
            <w:tcW w:w="7605" w:type="dxa"/>
            <w:gridSpan w:val="2"/>
            <w:tcBorders>
              <w:top w:val="single" w:color="auto" w:sz="4" w:space="0"/>
              <w:bottom w:val="single" w:color="auto" w:sz="4" w:space="0"/>
            </w:tcBorders>
            <w:noWrap w:val="0"/>
            <w:vAlign w:val="center"/>
          </w:tcPr>
          <w:p w14:paraId="39EDD0D7">
            <w:pPr>
              <w:spacing w:line="240" w:lineRule="atLeast"/>
              <w:jc w:val="both"/>
              <w:rPr>
                <w:rFonts w:hint="eastAsia" w:ascii="仿宋_GB2312" w:hAnsi="Times New Roman" w:cs="宋体"/>
                <w:kern w:val="0"/>
                <w:sz w:val="24"/>
              </w:rPr>
            </w:pPr>
            <w:r>
              <w:rPr>
                <w:rFonts w:hint="eastAsia" w:ascii="仿宋_GB2312" w:hAnsi="宋体" w:cs="宋体"/>
                <w:color w:val="000000"/>
                <w:sz w:val="24"/>
                <w:lang w:eastAsia="zh-CN"/>
              </w:rPr>
              <w:t>即办件</w:t>
            </w:r>
          </w:p>
        </w:tc>
      </w:tr>
      <w:tr w14:paraId="16C12F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5" w:hRule="atLeast"/>
          <w:jc w:val="center"/>
        </w:trPr>
        <w:tc>
          <w:tcPr>
            <w:tcW w:w="827" w:type="dxa"/>
            <w:tcBorders>
              <w:top w:val="single" w:color="auto" w:sz="4" w:space="0"/>
              <w:bottom w:val="single" w:color="auto" w:sz="4" w:space="0"/>
            </w:tcBorders>
            <w:noWrap w:val="0"/>
            <w:vAlign w:val="center"/>
          </w:tcPr>
          <w:p w14:paraId="7E0294D9">
            <w:pPr>
              <w:spacing w:line="240" w:lineRule="atLeast"/>
              <w:jc w:val="center"/>
              <w:rPr>
                <w:rFonts w:ascii="华文楷体" w:hAnsi="华文楷体" w:eastAsia="华文楷体" w:cs="宋体"/>
                <w:kern w:val="0"/>
                <w:sz w:val="24"/>
              </w:rPr>
            </w:pPr>
            <w:r>
              <w:rPr>
                <w:rFonts w:hint="eastAsia" w:ascii="华文楷体" w:hAnsi="华文楷体" w:eastAsia="华文楷体" w:cs="宋体"/>
                <w:kern w:val="0"/>
                <w:sz w:val="24"/>
              </w:rPr>
              <w:t>9</w:t>
            </w:r>
          </w:p>
        </w:tc>
        <w:tc>
          <w:tcPr>
            <w:tcW w:w="1260" w:type="dxa"/>
            <w:tcBorders>
              <w:top w:val="single" w:color="auto" w:sz="4" w:space="0"/>
              <w:bottom w:val="single" w:color="auto" w:sz="4" w:space="0"/>
            </w:tcBorders>
            <w:noWrap w:val="0"/>
            <w:vAlign w:val="center"/>
          </w:tcPr>
          <w:p w14:paraId="403C7071">
            <w:pPr>
              <w:spacing w:line="220" w:lineRule="exact"/>
              <w:jc w:val="both"/>
              <w:rPr>
                <w:rFonts w:ascii="华文楷体" w:hAnsi="华文楷体" w:eastAsia="华文楷体" w:cs="宋体"/>
                <w:kern w:val="0"/>
                <w:sz w:val="24"/>
              </w:rPr>
            </w:pPr>
            <w:r>
              <w:rPr>
                <w:rFonts w:hint="eastAsia" w:ascii="华文楷体" w:hAnsi="华文楷体" w:eastAsia="华文楷体" w:cs="宋体"/>
                <w:kern w:val="0"/>
                <w:sz w:val="24"/>
              </w:rPr>
              <w:t>收费标准及依据</w:t>
            </w:r>
          </w:p>
        </w:tc>
        <w:tc>
          <w:tcPr>
            <w:tcW w:w="7605" w:type="dxa"/>
            <w:gridSpan w:val="2"/>
            <w:tcBorders>
              <w:top w:val="single" w:color="auto" w:sz="4" w:space="0"/>
              <w:bottom w:val="single" w:color="auto" w:sz="4" w:space="0"/>
            </w:tcBorders>
            <w:noWrap w:val="0"/>
            <w:vAlign w:val="center"/>
          </w:tcPr>
          <w:p w14:paraId="7350135E">
            <w:pPr>
              <w:spacing w:line="240" w:lineRule="atLeast"/>
              <w:jc w:val="both"/>
              <w:rPr>
                <w:rFonts w:ascii="仿宋_GB2312" w:hAnsi="Times New Roman" w:cs="宋体"/>
                <w:kern w:val="0"/>
                <w:sz w:val="24"/>
              </w:rPr>
            </w:pPr>
            <w:r>
              <w:rPr>
                <w:rFonts w:hint="eastAsia" w:ascii="仿宋_GB2312" w:hAnsi="Times New Roman" w:cs="宋体"/>
                <w:kern w:val="0"/>
                <w:sz w:val="24"/>
              </w:rPr>
              <w:t>不收费</w:t>
            </w:r>
          </w:p>
        </w:tc>
      </w:tr>
      <w:tr w14:paraId="2247B8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3" w:hRule="atLeast"/>
          <w:jc w:val="center"/>
        </w:trPr>
        <w:tc>
          <w:tcPr>
            <w:tcW w:w="827" w:type="dxa"/>
            <w:tcBorders>
              <w:top w:val="single" w:color="auto" w:sz="4" w:space="0"/>
              <w:bottom w:val="single" w:color="auto" w:sz="4" w:space="0"/>
            </w:tcBorders>
            <w:noWrap w:val="0"/>
            <w:vAlign w:val="center"/>
          </w:tcPr>
          <w:p w14:paraId="7D402666">
            <w:pPr>
              <w:spacing w:line="240" w:lineRule="atLeast"/>
              <w:jc w:val="center"/>
              <w:rPr>
                <w:rFonts w:ascii="华文楷体" w:hAnsi="华文楷体" w:eastAsia="华文楷体" w:cs="宋体"/>
                <w:kern w:val="0"/>
                <w:sz w:val="24"/>
              </w:rPr>
            </w:pPr>
            <w:r>
              <w:rPr>
                <w:rFonts w:hint="eastAsia" w:ascii="华文楷体" w:hAnsi="华文楷体" w:eastAsia="华文楷体" w:cs="宋体"/>
                <w:kern w:val="0"/>
                <w:sz w:val="24"/>
              </w:rPr>
              <w:t>10</w:t>
            </w:r>
          </w:p>
        </w:tc>
        <w:tc>
          <w:tcPr>
            <w:tcW w:w="1260" w:type="dxa"/>
            <w:tcBorders>
              <w:top w:val="single" w:color="auto" w:sz="4" w:space="0"/>
              <w:bottom w:val="single" w:color="auto" w:sz="4" w:space="0"/>
            </w:tcBorders>
            <w:noWrap w:val="0"/>
            <w:vAlign w:val="center"/>
          </w:tcPr>
          <w:p w14:paraId="3A5BC028">
            <w:pPr>
              <w:spacing w:line="240" w:lineRule="atLeast"/>
              <w:jc w:val="both"/>
              <w:rPr>
                <w:rFonts w:ascii="华文楷体" w:hAnsi="华文楷体" w:eastAsia="华文楷体" w:cs="宋体"/>
                <w:kern w:val="0"/>
                <w:sz w:val="24"/>
              </w:rPr>
            </w:pPr>
            <w:r>
              <w:rPr>
                <w:rFonts w:hint="eastAsia" w:ascii="华文楷体" w:hAnsi="华文楷体" w:eastAsia="华文楷体" w:cs="宋体"/>
                <w:kern w:val="0"/>
                <w:sz w:val="24"/>
                <w:lang w:eastAsia="zh-CN"/>
              </w:rPr>
              <w:t>容缺受理</w:t>
            </w:r>
          </w:p>
        </w:tc>
        <w:tc>
          <w:tcPr>
            <w:tcW w:w="7605" w:type="dxa"/>
            <w:gridSpan w:val="2"/>
            <w:tcBorders>
              <w:top w:val="single" w:color="auto" w:sz="4" w:space="0"/>
              <w:bottom w:val="single" w:color="auto" w:sz="4" w:space="0"/>
            </w:tcBorders>
            <w:noWrap w:val="0"/>
            <w:vAlign w:val="center"/>
          </w:tcPr>
          <w:p w14:paraId="4B4278EA">
            <w:pPr>
              <w:spacing w:line="240" w:lineRule="atLeast"/>
              <w:jc w:val="both"/>
              <w:rPr>
                <w:rFonts w:hint="eastAsia" w:ascii="仿宋_GB2312" w:hAnsi="Times New Roman" w:eastAsia="仿宋_GB2312" w:cs="宋体"/>
                <w:kern w:val="0"/>
                <w:sz w:val="24"/>
                <w:lang w:eastAsia="zh-CN"/>
              </w:rPr>
            </w:pPr>
            <w:r>
              <w:rPr>
                <w:rFonts w:hint="eastAsia" w:ascii="仿宋_GB2312" w:hAnsi="Times New Roman" w:cs="宋体"/>
                <w:kern w:val="0"/>
                <w:sz w:val="24"/>
                <w:lang w:eastAsia="zh-CN"/>
              </w:rPr>
              <w:t>否</w:t>
            </w:r>
          </w:p>
        </w:tc>
      </w:tr>
      <w:tr w14:paraId="0BDFB1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215" w:hRule="atLeast"/>
          <w:jc w:val="center"/>
        </w:trPr>
        <w:tc>
          <w:tcPr>
            <w:tcW w:w="827" w:type="dxa"/>
            <w:tcBorders>
              <w:top w:val="single" w:color="auto" w:sz="4" w:space="0"/>
              <w:bottom w:val="single" w:color="auto" w:sz="4" w:space="0"/>
            </w:tcBorders>
            <w:noWrap w:val="0"/>
            <w:vAlign w:val="center"/>
          </w:tcPr>
          <w:p w14:paraId="51C22EFE">
            <w:pPr>
              <w:spacing w:line="240" w:lineRule="atLeast"/>
              <w:jc w:val="center"/>
              <w:rPr>
                <w:rFonts w:hint="eastAsia" w:ascii="华文楷体" w:hAnsi="华文楷体" w:eastAsia="华文楷体" w:cs="宋体"/>
                <w:kern w:val="0"/>
                <w:sz w:val="24"/>
                <w:lang w:val="en-US" w:eastAsia="zh-CN"/>
              </w:rPr>
            </w:pPr>
            <w:r>
              <w:rPr>
                <w:rFonts w:hint="eastAsia" w:ascii="华文楷体" w:hAnsi="华文楷体" w:eastAsia="华文楷体" w:cs="宋体"/>
                <w:kern w:val="0"/>
                <w:sz w:val="24"/>
                <w:lang w:val="en-US" w:eastAsia="zh-CN"/>
              </w:rPr>
              <w:t>11</w:t>
            </w:r>
          </w:p>
        </w:tc>
        <w:tc>
          <w:tcPr>
            <w:tcW w:w="1260" w:type="dxa"/>
            <w:tcBorders>
              <w:top w:val="single" w:color="auto" w:sz="4" w:space="0"/>
              <w:bottom w:val="single" w:color="auto" w:sz="4" w:space="0"/>
            </w:tcBorders>
            <w:noWrap w:val="0"/>
            <w:vAlign w:val="center"/>
          </w:tcPr>
          <w:p w14:paraId="2844BDBA">
            <w:pPr>
              <w:spacing w:line="240" w:lineRule="atLeast"/>
              <w:jc w:val="both"/>
              <w:rPr>
                <w:rFonts w:hint="eastAsia" w:ascii="华文楷体" w:hAnsi="华文楷体" w:eastAsia="华文楷体" w:cs="宋体"/>
                <w:kern w:val="0"/>
                <w:sz w:val="24"/>
                <w:lang w:eastAsia="zh-CN"/>
              </w:rPr>
            </w:pPr>
            <w:r>
              <w:rPr>
                <w:rFonts w:hint="eastAsia" w:ascii="华文楷体" w:hAnsi="华文楷体" w:eastAsia="华文楷体" w:cs="宋体"/>
                <w:kern w:val="0"/>
                <w:sz w:val="24"/>
                <w:lang w:eastAsia="zh-CN"/>
              </w:rPr>
              <w:t>办理结果</w:t>
            </w:r>
          </w:p>
        </w:tc>
        <w:tc>
          <w:tcPr>
            <w:tcW w:w="7605" w:type="dxa"/>
            <w:gridSpan w:val="2"/>
            <w:tcBorders>
              <w:top w:val="single" w:color="auto" w:sz="4" w:space="0"/>
              <w:bottom w:val="single" w:color="auto" w:sz="4" w:space="0"/>
            </w:tcBorders>
            <w:noWrap w:val="0"/>
            <w:vAlign w:val="center"/>
          </w:tcPr>
          <w:p w14:paraId="7CDF33B7">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仿宋_GB2312" w:hAnsi="Times New Roman" w:eastAsia="仿宋_GB2312" w:cs="宋体"/>
                <w:kern w:val="0"/>
                <w:sz w:val="24"/>
                <w:lang w:val="en-US" w:eastAsia="zh-CN"/>
              </w:rPr>
            </w:pPr>
            <w:r>
              <w:rPr>
                <w:rFonts w:hint="eastAsia" w:ascii="仿宋_GB2312" w:hAnsi="Times New Roman" w:cs="宋体"/>
                <w:kern w:val="0"/>
                <w:sz w:val="24"/>
                <w:lang w:eastAsia="zh-CN"/>
              </w:rPr>
              <w:t>属</w:t>
            </w:r>
            <w:r>
              <w:rPr>
                <w:rFonts w:hint="eastAsia" w:ascii="仿宋_GB2312" w:hAnsi="仿宋_GB2312" w:cs="仿宋_GB2312"/>
                <w:sz w:val="24"/>
                <w:szCs w:val="24"/>
                <w:shd w:val="clear" w:color="auto" w:fill="FFFFFF"/>
                <w:lang w:eastAsia="zh-CN"/>
              </w:rPr>
              <w:t>设立分支机构的出具收据。属变更</w:t>
            </w:r>
            <w:r>
              <w:rPr>
                <w:rFonts w:hint="eastAsia" w:ascii="仿宋_GB2312" w:hAnsi="Times New Roman" w:cs="宋体"/>
                <w:kern w:val="0"/>
                <w:sz w:val="24"/>
              </w:rPr>
              <w:t>名称、住所、法定代表人或者终止经营</w:t>
            </w:r>
            <w:r>
              <w:rPr>
                <w:rFonts w:hint="eastAsia" w:ascii="仿宋_GB2312" w:hAnsi="Times New Roman" w:cs="宋体"/>
                <w:kern w:val="0"/>
                <w:sz w:val="24"/>
                <w:lang w:eastAsia="zh-CN"/>
              </w:rPr>
              <w:t>的，</w:t>
            </w:r>
            <w:r>
              <w:rPr>
                <w:rFonts w:hint="eastAsia" w:ascii="仿宋_GB2312" w:hAnsi="仿宋_GB2312" w:eastAsia="仿宋_GB2312" w:cs="仿宋_GB2312"/>
                <w:sz w:val="24"/>
                <w:szCs w:val="24"/>
                <w:shd w:val="clear" w:color="auto" w:fill="FFFFFF"/>
              </w:rPr>
              <w:t>换发</w:t>
            </w:r>
            <w:r>
              <w:rPr>
                <w:rFonts w:hint="eastAsia" w:ascii="仿宋_GB2312" w:hAnsi="仿宋_GB2312" w:cs="仿宋_GB2312"/>
                <w:sz w:val="24"/>
                <w:szCs w:val="24"/>
                <w:shd w:val="clear" w:color="auto" w:fill="FFFFFF"/>
                <w:lang w:eastAsia="zh-CN"/>
              </w:rPr>
              <w:t>或</w:t>
            </w:r>
            <w:r>
              <w:rPr>
                <w:rFonts w:hint="eastAsia" w:ascii="仿宋_GB2312" w:hAnsi="仿宋_GB2312" w:eastAsia="仿宋_GB2312" w:cs="仿宋_GB2312"/>
                <w:sz w:val="24"/>
                <w:szCs w:val="24"/>
                <w:shd w:val="clear" w:color="auto" w:fill="FFFFFF"/>
              </w:rPr>
              <w:t>收回人力资源服务</w:t>
            </w:r>
            <w:r>
              <w:rPr>
                <w:rFonts w:hint="eastAsia" w:ascii="仿宋_GB2312" w:hAnsi="仿宋_GB2312" w:cs="仿宋_GB2312"/>
                <w:sz w:val="24"/>
                <w:szCs w:val="24"/>
                <w:shd w:val="clear" w:color="auto" w:fill="FFFFFF"/>
                <w:lang w:eastAsia="zh-CN"/>
              </w:rPr>
              <w:t>许可证、</w:t>
            </w:r>
            <w:r>
              <w:rPr>
                <w:rFonts w:hint="eastAsia" w:ascii="仿宋_GB2312" w:hAnsi="仿宋_GB2312" w:eastAsia="仿宋_GB2312" w:cs="仿宋_GB2312"/>
                <w:sz w:val="24"/>
                <w:szCs w:val="24"/>
                <w:shd w:val="clear" w:color="auto" w:fill="FFFFFF"/>
              </w:rPr>
              <w:t>备案凭证。</w:t>
            </w:r>
            <w:r>
              <w:rPr>
                <w:rFonts w:hint="eastAsia" w:ascii="仿宋_GB2312" w:hAnsi="仿宋_GB2312" w:eastAsia="仿宋_GB2312" w:cs="仿宋_GB2312"/>
                <w:sz w:val="24"/>
                <w:szCs w:val="24"/>
                <w:shd w:val="clear" w:color="auto" w:fill="FFFFFF"/>
                <w:lang w:eastAsia="zh-CN"/>
              </w:rPr>
              <w:t>属跨管辖区域变更住所的，迁入地人力资源社会保障行政部门还应在接到书面报告之日起</w:t>
            </w:r>
            <w:r>
              <w:rPr>
                <w:rFonts w:hint="eastAsia" w:ascii="仿宋_GB2312" w:hAnsi="仿宋_GB2312" w:eastAsia="仿宋_GB2312" w:cs="仿宋_GB2312"/>
                <w:sz w:val="24"/>
                <w:szCs w:val="24"/>
                <w:shd w:val="clear" w:color="auto" w:fill="FFFFFF"/>
                <w:lang w:val="en-US" w:eastAsia="zh-CN"/>
              </w:rPr>
              <w:t>10个工作日内书面通知迁出地人力资源社会保障行政部门，由迁出地人力资源社会保障行政部门在接到书面通知之日起10个工作日内，向迁入地人力资源社会保障行政部门移交经营性人力资源服务机构申请行政许可、办理备案的原始材料。</w:t>
            </w:r>
          </w:p>
        </w:tc>
      </w:tr>
    </w:tbl>
    <w:p w14:paraId="2132221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altName w:val="微软雅黑"/>
    <w:panose1 w:val="02000000000000000000"/>
    <w:charset w:val="86"/>
    <w:family w:val="auto"/>
    <w:pitch w:val="default"/>
    <w:sig w:usb0="00000000" w:usb1="0000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方正仿宋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9230568"/>
    <w:rsid w:val="292305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2025-04-24T02:42:00Z</dcterms:created>
  <dc:creator>彩虹</dc:creator>
  <cp:lastModifiedBy>彩虹</cp:lastModifiedBy>
  <dcterms:modified xsi:type="dcterms:W3CDTF">2025-04-24T02:44:37Z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0A2286ADF0E145369F380AED0FF0A425_11</vt:lpwstr>
  </property>
  <property fmtid="{D5CDD505-2E9C-101B-9397-08002B2CF9AE}" pid="4" name="KSOTemplateDocerSaveRecord">
    <vt:lpwstr>eyJoZGlkIjoiM2RkOTc3OWNmN2I4YTNmZDAxZTRmZGUzOWNlOTEyMDciLCJ1c2VySWQiOiIxMDQ0MjkxMTYxIn0=</vt:lpwstr>
  </property>
</Properties>
</file>