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0A386">
      <w:pPr>
        <w:widowControl/>
        <w:spacing w:line="5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14:paraId="4B676F8A">
      <w:pPr>
        <w:widowControl/>
        <w:spacing w:line="56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rPr>
        <w:t>福建省人力资源服务</w:t>
      </w:r>
      <w:r>
        <w:rPr>
          <w:rFonts w:hint="eastAsia" w:ascii="方正小标宋_GBK" w:hAnsi="方正小标宋_GBK" w:eastAsia="方正小标宋_GBK" w:cs="方正小标宋_GBK"/>
          <w:b w:val="0"/>
          <w:bCs/>
          <w:sz w:val="36"/>
          <w:szCs w:val="36"/>
          <w:lang w:eastAsia="zh-CN"/>
        </w:rPr>
        <w:t>机构开展人力资源服务业务</w:t>
      </w:r>
    </w:p>
    <w:p w14:paraId="76092C5C">
      <w:pPr>
        <w:widowControl w:val="0"/>
        <w:autoSpaceDE w:val="0"/>
        <w:autoSpaceDN w:val="0"/>
        <w:adjustRightInd w:val="0"/>
        <w:jc w:val="center"/>
        <w:rPr>
          <w:rFonts w:hint="eastAsia" w:ascii="方正小标宋_GBK" w:hAnsi="方正小标宋_GBK" w:eastAsia="方正小标宋_GBK" w:cs="方正小标宋_GBK"/>
          <w:b w:val="0"/>
          <w:bCs/>
          <w:color w:val="000000"/>
          <w:sz w:val="36"/>
          <w:szCs w:val="36"/>
          <w:lang w:val="en-US" w:eastAsia="zh-CN" w:bidi="ar-SA"/>
        </w:rPr>
      </w:pPr>
      <w:r>
        <w:rPr>
          <w:rFonts w:hint="eastAsia" w:ascii="方正小标宋_GBK" w:hAnsi="方正小标宋_GBK" w:eastAsia="方正小标宋_GBK" w:cs="方正小标宋_GBK"/>
          <w:b w:val="0"/>
          <w:bCs/>
          <w:color w:val="000000"/>
          <w:sz w:val="36"/>
          <w:szCs w:val="36"/>
          <w:lang w:val="en-US" w:eastAsia="zh-CN" w:bidi="ar-SA"/>
        </w:rPr>
        <w:t>备案规程表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2"/>
        <w:gridCol w:w="1280"/>
        <w:gridCol w:w="7237"/>
      </w:tblGrid>
      <w:tr w14:paraId="50614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2" w:hRule="atLeast"/>
          <w:jc w:val="center"/>
        </w:trPr>
        <w:tc>
          <w:tcPr>
            <w:tcW w:w="772" w:type="dxa"/>
            <w:noWrap w:val="0"/>
            <w:vAlign w:val="center"/>
          </w:tcPr>
          <w:p w14:paraId="50D7776A">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80" w:type="dxa"/>
            <w:noWrap w:val="0"/>
            <w:vAlign w:val="center"/>
          </w:tcPr>
          <w:p w14:paraId="6421AE36">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237" w:type="dxa"/>
            <w:noWrap w:val="0"/>
            <w:vAlign w:val="center"/>
          </w:tcPr>
          <w:p w14:paraId="247E581D">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14:paraId="6344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9" w:hRule="atLeast"/>
          <w:jc w:val="center"/>
        </w:trPr>
        <w:tc>
          <w:tcPr>
            <w:tcW w:w="772" w:type="dxa"/>
            <w:noWrap w:val="0"/>
            <w:vAlign w:val="center"/>
          </w:tcPr>
          <w:p w14:paraId="20605C81">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80" w:type="dxa"/>
            <w:noWrap w:val="0"/>
            <w:vAlign w:val="center"/>
          </w:tcPr>
          <w:p w14:paraId="799AFEDC">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237" w:type="dxa"/>
            <w:noWrap w:val="0"/>
            <w:vAlign w:val="center"/>
          </w:tcPr>
          <w:p w14:paraId="040E19EB">
            <w:pPr>
              <w:widowControl/>
              <w:spacing w:line="240" w:lineRule="atLeast"/>
              <w:jc w:val="both"/>
              <w:rPr>
                <w:rFonts w:ascii="仿宋_GB2312" w:hAnsi="Times New Roman" w:cs="宋体"/>
                <w:kern w:val="0"/>
                <w:sz w:val="24"/>
              </w:rPr>
            </w:pPr>
            <w:r>
              <w:rPr>
                <w:rFonts w:hint="eastAsia" w:ascii="仿宋_GB2312" w:hAnsi="Times New Roman" w:cs="宋体"/>
                <w:kern w:val="0"/>
                <w:sz w:val="24"/>
              </w:rPr>
              <w:t>人力资源</w:t>
            </w:r>
            <w:r>
              <w:rPr>
                <w:rFonts w:hint="eastAsia" w:ascii="仿宋_GB2312" w:hAnsi="Times New Roman" w:cs="宋体"/>
                <w:kern w:val="0"/>
                <w:sz w:val="24"/>
                <w:lang w:eastAsia="zh-CN"/>
              </w:rPr>
              <w:t>服务</w:t>
            </w:r>
            <w:r>
              <w:rPr>
                <w:rFonts w:hint="eastAsia" w:ascii="仿宋_GB2312" w:hAnsi="Times New Roman" w:cs="宋体"/>
                <w:kern w:val="0"/>
                <w:sz w:val="24"/>
              </w:rPr>
              <w:t>备案</w:t>
            </w:r>
          </w:p>
        </w:tc>
      </w:tr>
      <w:tr w14:paraId="053D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25" w:hRule="atLeast"/>
          <w:jc w:val="center"/>
        </w:trPr>
        <w:tc>
          <w:tcPr>
            <w:tcW w:w="772" w:type="dxa"/>
            <w:noWrap w:val="0"/>
            <w:vAlign w:val="center"/>
          </w:tcPr>
          <w:p w14:paraId="0FF9FB5C">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80" w:type="dxa"/>
            <w:noWrap w:val="0"/>
            <w:vAlign w:val="center"/>
          </w:tcPr>
          <w:p w14:paraId="5320E3B0">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237" w:type="dxa"/>
            <w:noWrap w:val="0"/>
            <w:vAlign w:val="center"/>
          </w:tcPr>
          <w:p w14:paraId="7C3128F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一）《人力资源市场暂行条例》（国务院令第700号）第十八条第二款：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14:paraId="76A27431">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（二）《人力资</w:t>
            </w:r>
            <w:r>
              <w:rPr>
                <w:rFonts w:hint="eastAsia" w:ascii="仿宋_GB2312" w:hAnsi="Times New Roman" w:cs="Times New Roman"/>
                <w:sz w:val="24"/>
                <w:lang w:eastAsia="zh-CN" w:bidi="ar"/>
              </w:rPr>
              <w:t>源</w:t>
            </w:r>
            <w:r>
              <w:rPr>
                <w:rFonts w:hint="eastAsia" w:ascii="仿宋_GB2312" w:hAnsi="Times New Roman" w:cs="Times New Roman"/>
                <w:sz w:val="24"/>
                <w:lang w:bidi="ar"/>
              </w:rPr>
              <w:t>服务机构管理规定》（人力资源社会保障部令第50号）第九条第一款：经营性人力资源服务机构开展人力资源供求信息的收集和发布、就业和创业指导、人力资源管理咨询、人力资源测评、人力资源培训、人力资源服务外包等人力资源服务业务的，应当自开展业务之日起15日内向住所地人力资源社会保障行政部门备案，备案事项包括机构名称、法定代表人、住所地、服务范围等。</w:t>
            </w:r>
          </w:p>
          <w:p w14:paraId="7A8E0894">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方正仿宋_GBK" w:cs="Times New Roman"/>
                <w:lang w:eastAsia="zh-CN"/>
              </w:rPr>
            </w:pPr>
            <w:r>
              <w:rPr>
                <w:rFonts w:hint="eastAsia" w:ascii="仿宋_GB2312" w:hAnsi="Times New Roman" w:cs="Times New Roman"/>
                <w:sz w:val="24"/>
                <w:lang w:eastAsia="zh-CN" w:bidi="ar"/>
              </w:rPr>
              <w:t>（三）《福建省人力资源市场条例》</w:t>
            </w:r>
            <w:r>
              <w:rPr>
                <w:rFonts w:hint="eastAsia" w:ascii="仿宋_GB2312" w:hAnsi="Times New Roman" w:cs="Times New Roman"/>
                <w:sz w:val="24"/>
                <w:lang w:bidi="ar"/>
              </w:rPr>
              <w:t>第</w:t>
            </w:r>
            <w:r>
              <w:rPr>
                <w:rFonts w:hint="eastAsia" w:ascii="仿宋_GB2312" w:hAnsi="Times New Roman" w:cs="Times New Roman"/>
                <w:sz w:val="24"/>
                <w:lang w:val="en-US" w:eastAsia="zh-CN" w:bidi="ar"/>
              </w:rPr>
              <w:t>二十八</w:t>
            </w:r>
            <w:r>
              <w:rPr>
                <w:rFonts w:hint="eastAsia" w:ascii="仿宋_GB2312" w:hAnsi="Times New Roman" w:cs="Times New Roman"/>
                <w:sz w:val="24"/>
                <w:lang w:bidi="ar"/>
              </w:rPr>
              <w:t>条</w:t>
            </w:r>
            <w:r>
              <w:rPr>
                <w:rFonts w:hint="eastAsia" w:ascii="仿宋_GB2312" w:hAnsi="Times New Roman" w:cs="Times New Roman"/>
                <w:sz w:val="24"/>
                <w:lang w:val="en-US" w:eastAsia="zh-CN" w:bidi="ar"/>
              </w:rPr>
              <w:t>：</w:t>
            </w:r>
            <w:r>
              <w:rPr>
                <w:rFonts w:hint="eastAsia" w:ascii="仿宋_GB2312" w:hAnsi="Times New Roman" w:cs="Times New Roman"/>
                <w:sz w:val="24"/>
                <w:lang w:bidi="ar"/>
              </w:rPr>
              <w:t>经营性人力资源服务机构从事下列业务，应当自开展业务之日起十五日内向住所地县级以上地方人民政府人力资源社会保障行政部门备案：（一）人力资源供求信息的收集和发布；（二）就业和创业指导；（三）人力资源管理咨询；（四）人力资源测评；（五）人力资源培训；（六）人力资源服务外包业务承接；（七）法律、行政法规和国家规定的其他</w:t>
            </w:r>
            <w:r>
              <w:rPr>
                <w:rFonts w:hint="eastAsia" w:ascii="仿宋_GB2312" w:hAnsi="Times New Roman" w:cs="Times New Roman"/>
                <w:sz w:val="24"/>
                <w:lang w:eastAsia="zh-CN" w:bidi="ar"/>
              </w:rPr>
              <w:t>需要备案管理的</w:t>
            </w:r>
            <w:r>
              <w:rPr>
                <w:rFonts w:hint="eastAsia" w:ascii="仿宋_GB2312" w:hAnsi="Times New Roman" w:cs="Times New Roman"/>
                <w:sz w:val="24"/>
                <w:lang w:bidi="ar"/>
              </w:rPr>
              <w:t>人力资源服务业务。</w:t>
            </w:r>
          </w:p>
        </w:tc>
      </w:tr>
      <w:tr w14:paraId="43E67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7" w:hRule="atLeast"/>
          <w:jc w:val="center"/>
        </w:trPr>
        <w:tc>
          <w:tcPr>
            <w:tcW w:w="772" w:type="dxa"/>
            <w:noWrap w:val="0"/>
            <w:vAlign w:val="center"/>
          </w:tcPr>
          <w:p w14:paraId="19F6359E">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80" w:type="dxa"/>
            <w:noWrap w:val="0"/>
            <w:vAlign w:val="center"/>
          </w:tcPr>
          <w:p w14:paraId="05FE12D8">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237" w:type="dxa"/>
            <w:noWrap w:val="0"/>
            <w:vAlign w:val="center"/>
          </w:tcPr>
          <w:p w14:paraId="2469F8FC">
            <w:pPr>
              <w:widowControl/>
              <w:spacing w:line="240" w:lineRule="atLeast"/>
              <w:jc w:val="both"/>
              <w:rPr>
                <w:rFonts w:ascii="仿宋_GB2312" w:hAnsi="Times New Roman" w:cs="Arial"/>
                <w:sz w:val="24"/>
              </w:rPr>
            </w:pPr>
            <w:r>
              <w:rPr>
                <w:rFonts w:hint="eastAsia" w:ascii="仿宋_GB2312" w:hAnsi="Times New Roman" w:cs="Arial"/>
                <w:sz w:val="24"/>
              </w:rPr>
              <w:t>经营性人力资源服务机构</w:t>
            </w:r>
          </w:p>
        </w:tc>
      </w:tr>
      <w:tr w14:paraId="3FDFF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2" w:hRule="atLeast"/>
          <w:jc w:val="center"/>
        </w:trPr>
        <w:tc>
          <w:tcPr>
            <w:tcW w:w="772" w:type="dxa"/>
            <w:noWrap w:val="0"/>
            <w:vAlign w:val="center"/>
          </w:tcPr>
          <w:p w14:paraId="3AF019F1">
            <w:pPr>
              <w:widowControl/>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4</w:t>
            </w:r>
          </w:p>
        </w:tc>
        <w:tc>
          <w:tcPr>
            <w:tcW w:w="1280" w:type="dxa"/>
            <w:noWrap w:val="0"/>
            <w:vAlign w:val="center"/>
          </w:tcPr>
          <w:p w14:paraId="5E755128">
            <w:pPr>
              <w:widowControl/>
              <w:spacing w:line="300" w:lineRule="exact"/>
              <w:jc w:val="both"/>
              <w:rPr>
                <w:rFonts w:ascii="仿宋_GB2312" w:hAnsi="Times New Roman" w:cs="宋体"/>
                <w:kern w:val="0"/>
                <w:sz w:val="24"/>
              </w:rPr>
            </w:pPr>
            <w:r>
              <w:rPr>
                <w:rFonts w:hint="eastAsia" w:ascii="华文楷体" w:hAnsi="华文楷体" w:eastAsia="华文楷体" w:cs="宋体"/>
                <w:kern w:val="0"/>
                <w:sz w:val="24"/>
              </w:rPr>
              <w:t>备案提交材料</w:t>
            </w:r>
          </w:p>
        </w:tc>
        <w:tc>
          <w:tcPr>
            <w:tcW w:w="7237" w:type="dxa"/>
            <w:noWrap w:val="0"/>
            <w:vAlign w:val="center"/>
          </w:tcPr>
          <w:p w14:paraId="446A715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1、</w:t>
            </w:r>
            <w:r>
              <w:rPr>
                <w:rFonts w:hint="eastAsia" w:ascii="仿宋_GB2312" w:hAnsi="Times New Roman" w:cs="Times New Roman"/>
                <w:sz w:val="24"/>
                <w:lang w:bidi="ar"/>
              </w:rPr>
              <w:t>《福建省人力资源服务</w:t>
            </w:r>
            <w:r>
              <w:rPr>
                <w:rFonts w:hint="eastAsia" w:ascii="仿宋_GB2312" w:hAnsi="Times New Roman" w:cs="Times New Roman"/>
                <w:sz w:val="24"/>
                <w:lang w:eastAsia="zh-CN" w:bidi="ar"/>
              </w:rPr>
              <w:t>机构开展人力资源服务业务</w:t>
            </w:r>
            <w:r>
              <w:rPr>
                <w:rFonts w:hint="eastAsia" w:ascii="仿宋_GB2312" w:hAnsi="Times New Roman" w:cs="Times New Roman"/>
                <w:sz w:val="24"/>
                <w:lang w:bidi="ar"/>
              </w:rPr>
              <w:t>备案</w:t>
            </w:r>
            <w:r>
              <w:rPr>
                <w:rFonts w:hint="eastAsia" w:ascii="仿宋_GB2312" w:hAnsi="Times New Roman" w:cs="Times New Roman"/>
                <w:sz w:val="24"/>
                <w:lang w:eastAsia="zh-CN" w:bidi="ar"/>
              </w:rPr>
              <w:t>登记</w:t>
            </w:r>
            <w:r>
              <w:rPr>
                <w:rFonts w:hint="eastAsia" w:ascii="仿宋_GB2312" w:hAnsi="Times New Roman" w:cs="Times New Roman"/>
                <w:sz w:val="24"/>
                <w:lang w:bidi="ar"/>
              </w:rPr>
              <w:t>表》一式三份；</w:t>
            </w:r>
          </w:p>
          <w:p w14:paraId="50FA039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2、</w:t>
            </w:r>
            <w:r>
              <w:rPr>
                <w:rFonts w:hint="eastAsia" w:ascii="仿宋_GB2312" w:hAnsi="Times New Roman" w:cs="Times New Roman"/>
                <w:sz w:val="24"/>
                <w:lang w:bidi="ar"/>
              </w:rPr>
              <w:t>营业执照；</w:t>
            </w:r>
          </w:p>
          <w:p w14:paraId="78FB4E4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cs="Times New Roman"/>
                <w:sz w:val="24"/>
                <w:lang w:eastAsia="zh-CN" w:bidi="ar"/>
              </w:rPr>
            </w:pPr>
            <w:r>
              <w:rPr>
                <w:rFonts w:hint="eastAsia" w:ascii="仿宋_GB2312" w:hAnsi="Times New Roman" w:cs="Times New Roman"/>
                <w:sz w:val="24"/>
                <w:lang w:val="en-US" w:eastAsia="zh-CN" w:bidi="ar"/>
              </w:rPr>
              <w:t>3、</w:t>
            </w:r>
            <w:r>
              <w:rPr>
                <w:rFonts w:hint="eastAsia" w:ascii="仿宋_GB2312" w:hAnsi="Times New Roman" w:cs="Times New Roman"/>
                <w:sz w:val="24"/>
                <w:lang w:bidi="ar"/>
              </w:rPr>
              <w:t>办公场所（或者服务场所）房产所有权或者使用权证明</w:t>
            </w:r>
            <w:r>
              <w:rPr>
                <w:rFonts w:hint="eastAsia" w:ascii="仿宋_GB2312" w:hAnsi="Times New Roman" w:cs="Times New Roman"/>
                <w:sz w:val="24"/>
                <w:lang w:eastAsia="zh-CN" w:bidi="ar"/>
              </w:rPr>
              <w:t>，</w:t>
            </w:r>
            <w:r>
              <w:rPr>
                <w:rFonts w:hint="eastAsia" w:ascii="仿宋_GB2312" w:hAnsi="Times New Roman" w:cs="Times New Roman"/>
                <w:sz w:val="24"/>
                <w:lang w:bidi="ar"/>
              </w:rPr>
              <w:t>或不少于1年租赁期的场所租赁协议</w:t>
            </w:r>
            <w:r>
              <w:rPr>
                <w:rFonts w:hint="eastAsia" w:ascii="仿宋_GB2312" w:hAnsi="Times New Roman" w:cs="Times New Roman"/>
                <w:sz w:val="24"/>
                <w:lang w:eastAsia="zh-CN" w:bidi="ar"/>
              </w:rPr>
              <w:t>；</w:t>
            </w:r>
          </w:p>
          <w:p w14:paraId="1E620FC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_GB2312" w:hAnsi="Times New Roman" w:cs="Times New Roman"/>
                <w:bCs/>
                <w:color w:val="000000"/>
                <w:sz w:val="24"/>
                <w:lang w:val="en-US" w:eastAsia="zh-CN"/>
              </w:rPr>
            </w:pPr>
            <w:r>
              <w:rPr>
                <w:rFonts w:hint="eastAsia" w:ascii="仿宋_GB2312" w:hAnsi="Times New Roman" w:cs="Times New Roman"/>
                <w:sz w:val="24"/>
                <w:lang w:val="en-US" w:eastAsia="zh-CN" w:bidi="ar"/>
              </w:rPr>
              <w:t>4、法定代表人身份证明</w:t>
            </w:r>
            <w:r>
              <w:rPr>
                <w:rFonts w:hint="eastAsia" w:ascii="仿宋_GB2312" w:cs="Times New Roman"/>
                <w:sz w:val="24"/>
                <w:lang w:val="en-US" w:eastAsia="zh-CN" w:bidi="ar"/>
              </w:rPr>
              <w:t>。</w:t>
            </w:r>
          </w:p>
        </w:tc>
      </w:tr>
      <w:tr w14:paraId="2CEA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772" w:type="dxa"/>
            <w:noWrap w:val="0"/>
            <w:vAlign w:val="center"/>
          </w:tcPr>
          <w:p w14:paraId="5C990078">
            <w:pPr>
              <w:widowControl/>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5</w:t>
            </w:r>
          </w:p>
        </w:tc>
        <w:tc>
          <w:tcPr>
            <w:tcW w:w="1280" w:type="dxa"/>
            <w:noWrap w:val="0"/>
            <w:vAlign w:val="center"/>
          </w:tcPr>
          <w:p w14:paraId="7B842D13">
            <w:pPr>
              <w:widowControl/>
              <w:spacing w:line="220" w:lineRule="exact"/>
              <w:jc w:val="both"/>
              <w:rPr>
                <w:rFonts w:ascii="华文楷体" w:hAnsi="华文楷体" w:eastAsia="华文楷体" w:cs="宋体"/>
                <w:kern w:val="0"/>
                <w:sz w:val="24"/>
              </w:rPr>
            </w:pPr>
            <w:r>
              <w:rPr>
                <w:rFonts w:hint="eastAsia" w:ascii="华文楷体" w:hAnsi="华文楷体" w:eastAsia="华文楷体" w:cs="宋体"/>
                <w:kern w:val="0"/>
                <w:sz w:val="24"/>
              </w:rPr>
              <w:t>申报条件及标准</w:t>
            </w:r>
          </w:p>
        </w:tc>
        <w:tc>
          <w:tcPr>
            <w:tcW w:w="7237" w:type="dxa"/>
            <w:tcBorders>
              <w:bottom w:val="single" w:color="auto" w:sz="4" w:space="0"/>
            </w:tcBorders>
            <w:noWrap w:val="0"/>
            <w:vAlign w:val="center"/>
          </w:tcPr>
          <w:p w14:paraId="64D6AB7C">
            <w:pPr>
              <w:spacing w:line="300" w:lineRule="exact"/>
              <w:jc w:val="both"/>
              <w:rPr>
                <w:rFonts w:ascii="仿宋_GB2312" w:hAnsi="宋体" w:cs="宋体"/>
                <w:color w:val="000000"/>
                <w:sz w:val="24"/>
              </w:rPr>
            </w:pPr>
            <w:r>
              <w:rPr>
                <w:rFonts w:hint="eastAsia" w:ascii="仿宋_GB2312" w:hAnsi="仿宋_GB2312" w:eastAsia="仿宋_GB2312" w:cs="仿宋_GB2312"/>
                <w:sz w:val="24"/>
                <w:szCs w:val="24"/>
                <w:shd w:val="clear" w:color="auto" w:fill="FFFFFF"/>
              </w:rPr>
              <w:t>自开展业务之日起15日内向住所地人力资源社会保障行政部门备案</w:t>
            </w:r>
          </w:p>
        </w:tc>
      </w:tr>
      <w:tr w14:paraId="7A1A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jc w:val="center"/>
        </w:trPr>
        <w:tc>
          <w:tcPr>
            <w:tcW w:w="772" w:type="dxa"/>
            <w:tcBorders>
              <w:bottom w:val="single" w:color="auto" w:sz="4" w:space="0"/>
            </w:tcBorders>
            <w:noWrap w:val="0"/>
            <w:vAlign w:val="center"/>
          </w:tcPr>
          <w:p w14:paraId="4D5A6F01">
            <w:pPr>
              <w:widowControl/>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6</w:t>
            </w:r>
          </w:p>
        </w:tc>
        <w:tc>
          <w:tcPr>
            <w:tcW w:w="1280" w:type="dxa"/>
            <w:tcBorders>
              <w:bottom w:val="single" w:color="auto" w:sz="4" w:space="0"/>
            </w:tcBorders>
            <w:noWrap w:val="0"/>
            <w:vAlign w:val="center"/>
          </w:tcPr>
          <w:p w14:paraId="2D0E4273">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办理流程</w:t>
            </w:r>
          </w:p>
        </w:tc>
        <w:tc>
          <w:tcPr>
            <w:tcW w:w="7237" w:type="dxa"/>
            <w:tcBorders>
              <w:top w:val="single" w:color="auto" w:sz="4" w:space="0"/>
              <w:bottom w:val="single" w:color="auto" w:sz="4" w:space="0"/>
            </w:tcBorders>
            <w:noWrap w:val="0"/>
            <w:vAlign w:val="center"/>
          </w:tcPr>
          <w:p w14:paraId="3D689718">
            <w:pPr>
              <w:jc w:val="both"/>
              <w:rPr>
                <w:rFonts w:ascii="仿宋_GB2312" w:hAnsi="宋体" w:cs="宋体"/>
                <w:color w:val="000000"/>
                <w:sz w:val="24"/>
              </w:rPr>
            </w:pPr>
            <w:r>
              <w:rPr>
                <w:rFonts w:hint="eastAsia" w:ascii="仿宋_GB2312" w:hAnsi="宋体" w:cs="宋体"/>
                <w:color w:val="000000"/>
                <w:sz w:val="24"/>
              </w:rPr>
              <w:t>受理-审核-办结</w:t>
            </w:r>
          </w:p>
        </w:tc>
      </w:tr>
      <w:tr w14:paraId="0C75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772" w:type="dxa"/>
            <w:tcBorders>
              <w:top w:val="single" w:color="auto" w:sz="4" w:space="0"/>
              <w:bottom w:val="single" w:color="auto" w:sz="4" w:space="0"/>
            </w:tcBorders>
            <w:noWrap w:val="0"/>
            <w:vAlign w:val="center"/>
          </w:tcPr>
          <w:p w14:paraId="2F408683">
            <w:pPr>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7</w:t>
            </w:r>
          </w:p>
        </w:tc>
        <w:tc>
          <w:tcPr>
            <w:tcW w:w="1280" w:type="dxa"/>
            <w:tcBorders>
              <w:top w:val="single" w:color="auto" w:sz="4" w:space="0"/>
              <w:bottom w:val="single" w:color="auto" w:sz="4" w:space="0"/>
            </w:tcBorders>
            <w:noWrap w:val="0"/>
            <w:vAlign w:val="center"/>
          </w:tcPr>
          <w:p w14:paraId="52FA4DC0">
            <w:pPr>
              <w:spacing w:line="220" w:lineRule="exac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法定时限</w:t>
            </w:r>
          </w:p>
        </w:tc>
        <w:tc>
          <w:tcPr>
            <w:tcW w:w="7237" w:type="dxa"/>
            <w:tcBorders>
              <w:top w:val="single" w:color="auto" w:sz="4" w:space="0"/>
              <w:bottom w:val="single" w:color="auto" w:sz="4" w:space="0"/>
            </w:tcBorders>
            <w:noWrap w:val="0"/>
            <w:vAlign w:val="center"/>
          </w:tcPr>
          <w:p w14:paraId="312D5DBE">
            <w:pPr>
              <w:spacing w:line="240" w:lineRule="atLeast"/>
              <w:jc w:val="both"/>
              <w:rPr>
                <w:rFonts w:ascii="仿宋_GB2312" w:hAnsi="Times New Roman" w:cs="宋体"/>
                <w:kern w:val="0"/>
                <w:sz w:val="24"/>
              </w:rPr>
            </w:pPr>
            <w:r>
              <w:rPr>
                <w:rFonts w:hint="eastAsia" w:ascii="仿宋_GB2312" w:hAnsi="仿宋_GB2312" w:eastAsia="仿宋_GB2312" w:cs="仿宋_GB2312"/>
                <w:kern w:val="0"/>
                <w:sz w:val="24"/>
              </w:rPr>
              <w:t>/</w:t>
            </w:r>
          </w:p>
        </w:tc>
      </w:tr>
      <w:tr w14:paraId="79069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jc w:val="center"/>
        </w:trPr>
        <w:tc>
          <w:tcPr>
            <w:tcW w:w="772" w:type="dxa"/>
            <w:tcBorders>
              <w:top w:val="single" w:color="auto" w:sz="4" w:space="0"/>
              <w:bottom w:val="single" w:color="auto" w:sz="4" w:space="0"/>
            </w:tcBorders>
            <w:noWrap w:val="0"/>
            <w:vAlign w:val="center"/>
          </w:tcPr>
          <w:p w14:paraId="6242850A">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8</w:t>
            </w:r>
          </w:p>
        </w:tc>
        <w:tc>
          <w:tcPr>
            <w:tcW w:w="1280" w:type="dxa"/>
            <w:tcBorders>
              <w:top w:val="single" w:color="auto" w:sz="4" w:space="0"/>
              <w:bottom w:val="single" w:color="auto" w:sz="4" w:space="0"/>
            </w:tcBorders>
            <w:noWrap w:val="0"/>
            <w:vAlign w:val="center"/>
          </w:tcPr>
          <w:p w14:paraId="66B66EF3">
            <w:pPr>
              <w:spacing w:line="220" w:lineRule="exac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办理时限</w:t>
            </w:r>
          </w:p>
        </w:tc>
        <w:tc>
          <w:tcPr>
            <w:tcW w:w="7237" w:type="dxa"/>
            <w:tcBorders>
              <w:top w:val="single" w:color="auto" w:sz="4" w:space="0"/>
              <w:bottom w:val="single" w:color="auto" w:sz="4" w:space="0"/>
            </w:tcBorders>
            <w:noWrap w:val="0"/>
            <w:vAlign w:val="center"/>
          </w:tcPr>
          <w:p w14:paraId="2B0B3064">
            <w:pPr>
              <w:spacing w:line="240" w:lineRule="atLeast"/>
              <w:jc w:val="both"/>
              <w:rPr>
                <w:rFonts w:hint="eastAsia" w:ascii="仿宋_GB2312" w:hAnsi="Times New Roman" w:cs="宋体"/>
                <w:kern w:val="0"/>
                <w:sz w:val="24"/>
              </w:rPr>
            </w:pPr>
            <w:r>
              <w:rPr>
                <w:rFonts w:hint="eastAsia" w:ascii="仿宋_GB2312" w:hAnsi="宋体" w:cs="宋体"/>
                <w:color w:val="000000"/>
                <w:sz w:val="24"/>
                <w:lang w:eastAsia="zh-CN"/>
              </w:rPr>
              <w:t>即办件</w:t>
            </w:r>
          </w:p>
        </w:tc>
      </w:tr>
      <w:tr w14:paraId="0F30A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772" w:type="dxa"/>
            <w:tcBorders>
              <w:top w:val="single" w:color="auto" w:sz="4" w:space="0"/>
              <w:bottom w:val="single" w:color="auto" w:sz="4" w:space="0"/>
            </w:tcBorders>
            <w:noWrap w:val="0"/>
            <w:vAlign w:val="center"/>
          </w:tcPr>
          <w:p w14:paraId="0F376981">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9</w:t>
            </w:r>
          </w:p>
        </w:tc>
        <w:tc>
          <w:tcPr>
            <w:tcW w:w="1280" w:type="dxa"/>
            <w:tcBorders>
              <w:top w:val="single" w:color="auto" w:sz="4" w:space="0"/>
              <w:bottom w:val="single" w:color="auto" w:sz="4" w:space="0"/>
            </w:tcBorders>
            <w:noWrap w:val="0"/>
            <w:vAlign w:val="center"/>
          </w:tcPr>
          <w:p w14:paraId="21280A93">
            <w:pPr>
              <w:spacing w:line="220" w:lineRule="exact"/>
              <w:jc w:val="both"/>
              <w:rPr>
                <w:rFonts w:ascii="华文楷体" w:hAnsi="华文楷体" w:eastAsia="华文楷体" w:cs="宋体"/>
                <w:kern w:val="0"/>
                <w:sz w:val="24"/>
              </w:rPr>
            </w:pPr>
            <w:r>
              <w:rPr>
                <w:rFonts w:hint="eastAsia" w:ascii="华文楷体" w:hAnsi="华文楷体" w:eastAsia="华文楷体" w:cs="宋体"/>
                <w:kern w:val="0"/>
                <w:sz w:val="24"/>
              </w:rPr>
              <w:t>收费标准及依据</w:t>
            </w:r>
          </w:p>
        </w:tc>
        <w:tc>
          <w:tcPr>
            <w:tcW w:w="7237" w:type="dxa"/>
            <w:tcBorders>
              <w:top w:val="single" w:color="auto" w:sz="4" w:space="0"/>
              <w:bottom w:val="single" w:color="auto" w:sz="4" w:space="0"/>
            </w:tcBorders>
            <w:noWrap w:val="0"/>
            <w:vAlign w:val="center"/>
          </w:tcPr>
          <w:p w14:paraId="029CD72A">
            <w:pPr>
              <w:spacing w:line="240" w:lineRule="atLeast"/>
              <w:jc w:val="both"/>
              <w:rPr>
                <w:rFonts w:ascii="仿宋_GB2312" w:hAnsi="Times New Roman" w:cs="宋体"/>
                <w:kern w:val="0"/>
                <w:sz w:val="24"/>
              </w:rPr>
            </w:pPr>
            <w:r>
              <w:rPr>
                <w:rFonts w:hint="eastAsia" w:ascii="仿宋_GB2312" w:hAnsi="Times New Roman" w:cs="宋体"/>
                <w:kern w:val="0"/>
                <w:sz w:val="24"/>
              </w:rPr>
              <w:t>不收费</w:t>
            </w:r>
          </w:p>
        </w:tc>
      </w:tr>
      <w:tr w14:paraId="0235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772" w:type="dxa"/>
            <w:tcBorders>
              <w:top w:val="single" w:color="auto" w:sz="4" w:space="0"/>
              <w:bottom w:val="single" w:color="auto" w:sz="4" w:space="0"/>
            </w:tcBorders>
            <w:noWrap w:val="0"/>
            <w:vAlign w:val="center"/>
          </w:tcPr>
          <w:p w14:paraId="1061CC9F">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10</w:t>
            </w:r>
          </w:p>
        </w:tc>
        <w:tc>
          <w:tcPr>
            <w:tcW w:w="1280" w:type="dxa"/>
            <w:tcBorders>
              <w:top w:val="single" w:color="auto" w:sz="4" w:space="0"/>
              <w:bottom w:val="single" w:color="auto" w:sz="4" w:space="0"/>
            </w:tcBorders>
            <w:noWrap w:val="0"/>
            <w:vAlign w:val="center"/>
          </w:tcPr>
          <w:p w14:paraId="2CB09FBB">
            <w:pPr>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lang w:eastAsia="zh-CN"/>
              </w:rPr>
              <w:t>容缺受理</w:t>
            </w:r>
          </w:p>
        </w:tc>
        <w:tc>
          <w:tcPr>
            <w:tcW w:w="7237" w:type="dxa"/>
            <w:tcBorders>
              <w:top w:val="single" w:color="auto" w:sz="4" w:space="0"/>
              <w:bottom w:val="single" w:color="auto" w:sz="4" w:space="0"/>
            </w:tcBorders>
            <w:noWrap w:val="0"/>
            <w:vAlign w:val="center"/>
          </w:tcPr>
          <w:p w14:paraId="09A13BC9">
            <w:pPr>
              <w:spacing w:line="240" w:lineRule="atLeast"/>
              <w:jc w:val="both"/>
              <w:rPr>
                <w:rFonts w:ascii="仿宋_GB2312" w:hAnsi="Times New Roman" w:cs="宋体"/>
                <w:kern w:val="0"/>
                <w:sz w:val="24"/>
              </w:rPr>
            </w:pPr>
            <w:r>
              <w:rPr>
                <w:rFonts w:hint="eastAsia" w:ascii="仿宋_GB2312" w:hAnsi="Times New Roman" w:cs="宋体"/>
                <w:kern w:val="0"/>
                <w:sz w:val="24"/>
                <w:lang w:eastAsia="zh-CN"/>
              </w:rPr>
              <w:t>否</w:t>
            </w:r>
          </w:p>
        </w:tc>
      </w:tr>
      <w:tr w14:paraId="53E9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0" w:hRule="atLeast"/>
          <w:jc w:val="center"/>
        </w:trPr>
        <w:tc>
          <w:tcPr>
            <w:tcW w:w="772" w:type="dxa"/>
            <w:tcBorders>
              <w:top w:val="single" w:color="auto" w:sz="4" w:space="0"/>
              <w:bottom w:val="single" w:color="auto" w:sz="4" w:space="0"/>
            </w:tcBorders>
            <w:noWrap w:val="0"/>
            <w:vAlign w:val="center"/>
          </w:tcPr>
          <w:p w14:paraId="4DAC9106">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11</w:t>
            </w:r>
          </w:p>
        </w:tc>
        <w:tc>
          <w:tcPr>
            <w:tcW w:w="1280" w:type="dxa"/>
            <w:tcBorders>
              <w:top w:val="single" w:color="auto" w:sz="4" w:space="0"/>
              <w:bottom w:val="single" w:color="auto" w:sz="4" w:space="0"/>
            </w:tcBorders>
            <w:noWrap w:val="0"/>
            <w:vAlign w:val="center"/>
          </w:tcPr>
          <w:p w14:paraId="215C399F">
            <w:pPr>
              <w:spacing w:line="240" w:lineRule="atLeas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办理结果</w:t>
            </w:r>
          </w:p>
        </w:tc>
        <w:tc>
          <w:tcPr>
            <w:tcW w:w="7237" w:type="dxa"/>
            <w:tcBorders>
              <w:top w:val="single" w:color="auto" w:sz="4" w:space="0"/>
              <w:bottom w:val="single" w:color="auto" w:sz="4" w:space="0"/>
            </w:tcBorders>
            <w:noWrap w:val="0"/>
            <w:vAlign w:val="center"/>
          </w:tcPr>
          <w:p w14:paraId="2B8FC3BA">
            <w:pPr>
              <w:spacing w:line="280" w:lineRule="exact"/>
              <w:jc w:val="both"/>
              <w:rPr>
                <w:rFonts w:hint="eastAsia" w:ascii="仿宋_GB2312" w:hAnsi="Times New Roman" w:eastAsia="仿宋_GB2312" w:cs="宋体"/>
                <w:kern w:val="0"/>
                <w:sz w:val="24"/>
                <w:lang w:eastAsia="zh-CN"/>
              </w:rPr>
            </w:pPr>
            <w:r>
              <w:rPr>
                <w:rFonts w:hint="eastAsia" w:ascii="仿宋_GB2312" w:hAnsi="Times New Roman" w:cs="宋体"/>
                <w:kern w:val="0"/>
                <w:sz w:val="24"/>
                <w:lang w:eastAsia="zh-CN"/>
              </w:rPr>
              <w:t>备案事项齐全的，予以备案，</w:t>
            </w:r>
            <w:r>
              <w:rPr>
                <w:rFonts w:hint="eastAsia" w:ascii="仿宋_GB2312" w:hAnsi="Times New Roman" w:cs="宋体"/>
                <w:kern w:val="0"/>
                <w:sz w:val="24"/>
              </w:rPr>
              <w:t>出具</w:t>
            </w:r>
            <w:r>
              <w:rPr>
                <w:rFonts w:hint="eastAsia" w:ascii="仿宋_GB2312" w:hAnsi="Times New Roman" w:cs="宋体"/>
                <w:kern w:val="0"/>
                <w:sz w:val="24"/>
                <w:lang w:eastAsia="zh-CN"/>
              </w:rPr>
              <w:t>《</w:t>
            </w:r>
            <w:r>
              <w:rPr>
                <w:rFonts w:hint="eastAsia" w:ascii="仿宋_GB2312" w:hAnsi="Times New Roman" w:cs="宋体"/>
                <w:kern w:val="0"/>
                <w:sz w:val="24"/>
              </w:rPr>
              <w:t>福建省人力资源服务</w:t>
            </w:r>
            <w:r>
              <w:rPr>
                <w:rFonts w:hint="eastAsia" w:ascii="仿宋_GB2312" w:hAnsi="Times New Roman" w:cs="宋体"/>
                <w:kern w:val="0"/>
                <w:sz w:val="24"/>
                <w:lang w:eastAsia="zh-CN"/>
              </w:rPr>
              <w:t>机构开展人力资源服务业务</w:t>
            </w:r>
            <w:r>
              <w:rPr>
                <w:rFonts w:hint="eastAsia" w:ascii="仿宋_GB2312" w:hAnsi="Times New Roman" w:cs="宋体"/>
                <w:kern w:val="0"/>
                <w:sz w:val="24"/>
              </w:rPr>
              <w:t>备案</w:t>
            </w:r>
            <w:r>
              <w:rPr>
                <w:rFonts w:hint="eastAsia" w:ascii="仿宋_GB2312" w:hAnsi="Times New Roman" w:cs="宋体"/>
                <w:kern w:val="0"/>
                <w:sz w:val="24"/>
                <w:lang w:eastAsia="zh-CN"/>
              </w:rPr>
              <w:t>凭证》。</w:t>
            </w:r>
          </w:p>
        </w:tc>
      </w:tr>
    </w:tbl>
    <w:p w14:paraId="47B3B9E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01667"/>
    <w:rsid w:val="64C0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2025-04-24T02:41:00Z</dcterms:created>
  <dc:creator>彩虹</dc:creator>
  <cp:lastModifiedBy>彩虹</cp:lastModifiedBy>
  <dcterms:modified xsi:type="dcterms:W3CDTF">2025-04-24T02:42:23Z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BED74B474DF04DB98D3D327D7F425F5F_11</vt:lpwstr>
  </property>
  <property fmtid="{D5CDD505-2E9C-101B-9397-08002B2CF9AE}" pid="4" name="KSOTemplateDocerSaveRecord">
    <vt:lpwstr>eyJoZGlkIjoiM2RkOTc3OWNmN2I4YTNmZDAxZTRmZGUzOWNlOTEyMDciLCJ1c2VySWQiOiIxMDQ0MjkxMTYxIn0=</vt:lpwstr>
  </property>
</Properties>
</file>