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ind w:firstLine="640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业务申报常见问题及正确做法</w:t>
      </w:r>
    </w:p>
    <w:bookmarkEnd w:id="0"/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一、关于退休申请业务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1.退休待遇申领后，又办理了缴费基数调低业务。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正确做法：退休待遇申领后，只允许办理缴费基数调高业务，不允许办理缴费基数调低业务。若办理缴费基数调高业务后，应及时办理调增部分的职业年金记实缴费。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2.职业年金办理记实业务后，未及时去税务缴费。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正确做法：职业年金办理记实业务后，应及时去税务缴费。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3.提供《机关事业单位工作人员工资（考核晋升薪档）审批表》作为工资审批表。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正确做法：应提供《机关、事业单位工作人员工资（退休）审批表》。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比照单位提供的《比照单位在职人员社保缴费基数调整审批表》未能体现</w:t>
      </w:r>
      <w:r>
        <w:rPr>
          <w:rFonts w:ascii="仿宋" w:hAnsi="仿宋" w:eastAsia="仿宋" w:cs="仿宋"/>
          <w:sz w:val="32"/>
          <w:szCs w:val="32"/>
          <w:lang w:val="zh-CN"/>
        </w:rPr>
        <w:t>2014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年1月和退休前的职务职级档次。</w:t>
      </w:r>
    </w:p>
    <w:p>
      <w:pPr>
        <w:spacing w:line="560" w:lineRule="exact"/>
        <w:ind w:firstLine="645"/>
        <w:jc w:val="left"/>
        <w:rPr>
          <w:rFonts w:ascii="微软雅黑" w:eastAsia="微软雅黑" w:cs="微软雅黑"/>
          <w:kern w:val="0"/>
          <w:sz w:val="24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正确做法：提供的《比照单位在职人员社保缴费基数调整审批表》应当同时体现</w:t>
      </w:r>
      <w:r>
        <w:rPr>
          <w:rFonts w:ascii="仿宋" w:hAnsi="仿宋" w:eastAsia="仿宋" w:cs="仿宋"/>
          <w:sz w:val="32"/>
          <w:szCs w:val="32"/>
          <w:lang w:val="zh-CN"/>
        </w:rPr>
        <w:t>2014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年1月和退休前的职务职级档次。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《待遇申领表》中填写的每段工作经历未提供相应的档案材料。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正确做法：应附上相应的调动或工资审批材料等。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6.《申领表》中“是否领导职务”未勾选。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正确做法：应根据《机关、事业单位工作人员工资（退休）审批表》中2014年9月职务升降后的职务工资标准判定其是否为领导职务，并准确填报。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7.对于教师、地矿、警察、比照机关退休人员，《申领表》中“是否特殊人群”一栏未勾选。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正确做法：以上特殊人员务必根据实际情况勾选。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8.《待遇申领表》中“批准退休时间”填写错误，填写成退休批文下发时间，或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《机关、事业单位工作人员工资基金（退休）核减单》</w:t>
      </w:r>
      <w:r>
        <w:rPr>
          <w:rFonts w:hint="eastAsia" w:ascii="仿宋" w:hAnsi="仿宋" w:eastAsia="仿宋" w:cs="仿宋"/>
          <w:sz w:val="32"/>
          <w:szCs w:val="32"/>
        </w:rPr>
        <w:t>上的“执行时间”。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正确做法：应填写组织人事部门批准其退休的时间。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9.《待遇申领表》中“工资档次”填写不完整，或填写错误。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96520</wp:posOffset>
            </wp:positionV>
            <wp:extent cx="5267325" cy="614045"/>
            <wp:effectExtent l="0" t="0" r="9525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（1）①②③未全部填写，应全部填写完整。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（2）①②③虽然都有填写，但都只填写“职务职级”或“级别档次”，如只填写“正科”、“17-6”。正确填法应包含“职务职级+级别档次”，如“正科17-6”。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（3）②③填报的职务职级不一致，如②填写了“</w:t>
      </w:r>
      <w:r>
        <w:rPr>
          <w:rFonts w:hint="eastAsia" w:ascii="仿宋" w:hAnsi="仿宋" w:eastAsia="仿宋" w:cs="仿宋"/>
          <w:b/>
          <w:sz w:val="32"/>
          <w:szCs w:val="32"/>
        </w:rPr>
        <w:t>正处</w:t>
      </w:r>
      <w:r>
        <w:rPr>
          <w:rFonts w:hint="eastAsia" w:ascii="仿宋" w:hAnsi="仿宋" w:eastAsia="仿宋" w:cs="仿宋"/>
          <w:sz w:val="32"/>
          <w:szCs w:val="32"/>
        </w:rPr>
        <w:t>15-6”，③填写了“</w:t>
      </w:r>
      <w:r>
        <w:rPr>
          <w:rFonts w:hint="eastAsia" w:ascii="仿宋" w:hAnsi="仿宋" w:eastAsia="仿宋" w:cs="仿宋"/>
          <w:b/>
          <w:sz w:val="32"/>
          <w:szCs w:val="32"/>
        </w:rPr>
        <w:t>副处</w:t>
      </w:r>
      <w:r>
        <w:rPr>
          <w:rFonts w:hint="eastAsia" w:ascii="仿宋" w:hAnsi="仿宋" w:eastAsia="仿宋" w:cs="仿宋"/>
          <w:sz w:val="32"/>
          <w:szCs w:val="32"/>
        </w:rPr>
        <w:t>17-8”。正确填法应是②填写“</w:t>
      </w:r>
      <w:r>
        <w:rPr>
          <w:rFonts w:hint="eastAsia" w:ascii="仿宋" w:hAnsi="仿宋" w:eastAsia="仿宋" w:cs="仿宋"/>
          <w:b/>
          <w:sz w:val="32"/>
          <w:szCs w:val="32"/>
        </w:rPr>
        <w:t>正处</w:t>
      </w:r>
      <w:r>
        <w:rPr>
          <w:rFonts w:hint="eastAsia" w:ascii="仿宋" w:hAnsi="仿宋" w:eastAsia="仿宋" w:cs="仿宋"/>
          <w:sz w:val="32"/>
          <w:szCs w:val="32"/>
        </w:rPr>
        <w:t>15-6”，③填写“</w:t>
      </w:r>
      <w:r>
        <w:rPr>
          <w:rFonts w:hint="eastAsia" w:ascii="仿宋" w:hAnsi="仿宋" w:eastAsia="仿宋" w:cs="仿宋"/>
          <w:b/>
          <w:sz w:val="32"/>
          <w:szCs w:val="32"/>
        </w:rPr>
        <w:t>正处</w:t>
      </w:r>
      <w:r>
        <w:rPr>
          <w:rFonts w:hint="eastAsia" w:ascii="仿宋" w:hAnsi="仿宋" w:eastAsia="仿宋" w:cs="仿宋"/>
          <w:sz w:val="32"/>
          <w:szCs w:val="32"/>
        </w:rPr>
        <w:t>17-8”。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（4）检察院、法院、税务等单位在①②③中填写了非综合类的职务职级档次，如“四级高级警长17-8”、“二级高级法官14-6”、“一级主办16-5”等。正确填法应套改成公务员职务职级档次序列后填写。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（5）涉及职务职级并行的人员，填写②③时仍按照并行前的职务职级档次，如“正处17-8”。正确填法应是按照职务职级并行后的职级档次，如“一级调研员17-8”。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（6）职务职级档次填写与《退休工资审批表》不一致。正确填法应与《退休工资审批表》一致。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10.《待遇申领表》中“本人签名”、“单位经办人签章”漏填；“个人工作简历”中“缴费区间”和“是否已转移”未填写完整。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正确做法：以上信息均应填写完整。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11.检察院、法院未提供《关于确定xx同志员额内法官、检察官的职务（职级》和级别档次的函》。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正确做法：应提供《关于确定xx同志员额内法官、检察官的职务（职级》和级别档次的函》。</w:t>
      </w:r>
    </w:p>
    <w:p>
      <w:pP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二、其它问题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1.复印件未加盖公章。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正确做法：复印件须加盖公章。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2.有部分财政全额拨款单位为到龄退休人员办理了职业年金补记业务。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正确做法：应办理职业年金记实业务，而不是职业年金补记业务。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3.部分单位办理2014年10月至2018年12月期间的补缴业务时，仅提供《机关事业单位基本养老保险补缴申报表》。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正确做法：应同时提供《机关、事业单位工作人员工资基金追加单》。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jI2M2M3NGRmOTllMDc5OTAzMWVhMzczZTA1ZjMifQ=="/>
  </w:docVars>
  <w:rsids>
    <w:rsidRoot w:val="27CF5DE4"/>
    <w:rsid w:val="27C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2023-03-30T08:10:00Z</dcterms:created>
  <dc:creator>Administrator</dc:creator>
  <cp:lastModifiedBy>Administrator</cp:lastModifiedBy>
  <dcterms:modified xsi:type="dcterms:W3CDTF">2023-03-30T08:11:28Z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F21A4CB3E63A4560BB6F6F9F96FD46C0</vt:lpwstr>
  </property>
</Properties>
</file>