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Ansi="黑体" w:eastAsia="黑体"/>
        </w:rPr>
      </w:pPr>
      <w:r>
        <w:rPr>
          <w:rFonts w:hint="eastAsia" w:hAnsi="黑体" w:eastAsia="黑体" w:cs="黑体"/>
        </w:rPr>
        <w:t>附件</w:t>
      </w:r>
    </w:p>
    <w:p>
      <w:pPr>
        <w:spacing w:line="600" w:lineRule="exact"/>
        <w:rPr>
          <w:rFonts w:eastAsia="黑体"/>
        </w:rPr>
      </w:pPr>
    </w:p>
    <w:p>
      <w:pPr>
        <w:pStyle w:val="2"/>
        <w:shd w:val="clear" w:color="auto" w:fill="FFFFFF"/>
        <w:spacing w:line="600" w:lineRule="exact"/>
        <w:jc w:val="center"/>
        <w:rPr>
          <w:rStyle w:val="4"/>
          <w:rFonts w:ascii="Times New Roman" w:hAnsi="Times New Roman" w:eastAsia="方正小标宋简体"/>
          <w:b w:val="0"/>
          <w:bCs w:val="0"/>
          <w:w w:val="95"/>
          <w:sz w:val="44"/>
          <w:szCs w:val="44"/>
          <w:shd w:val="clear" w:color="auto" w:fill="FFFFFF"/>
        </w:rPr>
      </w:pPr>
      <w:r>
        <w:rPr>
          <w:rStyle w:val="4"/>
          <w:rFonts w:hint="eastAsia" w:ascii="Times New Roman" w:hAnsi="方正小标宋简体" w:eastAsia="方正小标宋简体" w:cs="方正小标宋简体"/>
          <w:b w:val="0"/>
          <w:w w:val="95"/>
          <w:sz w:val="44"/>
          <w:szCs w:val="44"/>
          <w:shd w:val="clear" w:color="auto" w:fill="FFFFFF"/>
        </w:rPr>
        <w:t>海外优秀青年人才来闽学术交流支持办法（试行）</w:t>
      </w:r>
    </w:p>
    <w:p>
      <w:pPr>
        <w:spacing w:line="600" w:lineRule="exact"/>
      </w:pPr>
    </w:p>
    <w:p>
      <w:pPr>
        <w:spacing w:line="600" w:lineRule="exact"/>
        <w:ind w:firstLine="630"/>
      </w:pPr>
      <w:r>
        <w:rPr>
          <w:rFonts w:hint="eastAsia" w:cs="仿宋_GB2312"/>
        </w:rPr>
        <w:t>为进一步吸引海外优秀青年人才来闽学术交流，经商富闽基金会，每年由其安排</w:t>
      </w:r>
      <w:r>
        <w:t>500</w:t>
      </w:r>
      <w:r>
        <w:rPr>
          <w:rFonts w:hint="eastAsia" w:cs="仿宋_GB2312"/>
        </w:rPr>
        <w:t>万元专项资金，给予符合条件的海外优秀青年人才资金资助。现就该专项资金制订支持办法如下：</w:t>
      </w:r>
    </w:p>
    <w:p>
      <w:pPr>
        <w:spacing w:line="600" w:lineRule="exact"/>
        <w:ind w:firstLine="630"/>
        <w:rPr>
          <w:rFonts w:ascii="黑体" w:eastAsia="黑体"/>
        </w:rPr>
      </w:pPr>
      <w:r>
        <w:rPr>
          <w:rFonts w:hint="eastAsia" w:ascii="黑体" w:eastAsia="黑体" w:cs="黑体"/>
        </w:rPr>
        <w:t>一、目标任务</w:t>
      </w:r>
    </w:p>
    <w:p>
      <w:pPr>
        <w:widowControl/>
        <w:spacing w:line="600" w:lineRule="exact"/>
        <w:ind w:firstLine="640" w:firstLineChars="200"/>
        <w:rPr>
          <w:rFonts w:cs="仿宋_GB2312"/>
        </w:rPr>
      </w:pPr>
      <w:r>
        <w:rPr>
          <w:rFonts w:hint="eastAsia"/>
          <w:bCs/>
        </w:rPr>
        <w:t>从</w:t>
      </w:r>
      <w:r>
        <w:rPr>
          <w:rFonts w:cs="仿宋_GB2312"/>
          <w:bCs/>
        </w:rPr>
        <w:t>2021</w:t>
      </w:r>
      <w:r>
        <w:rPr>
          <w:rFonts w:hint="eastAsia"/>
          <w:bCs/>
        </w:rPr>
        <w:t>年至</w:t>
      </w:r>
      <w:r>
        <w:rPr>
          <w:rFonts w:cs="仿宋_GB2312"/>
          <w:bCs/>
        </w:rPr>
        <w:t>2025</w:t>
      </w:r>
      <w:r>
        <w:rPr>
          <w:rFonts w:hint="eastAsia"/>
          <w:bCs/>
        </w:rPr>
        <w:t>年，</w:t>
      </w:r>
      <w:r>
        <w:rPr>
          <w:rFonts w:cs="仿宋_GB2312"/>
          <w:bCs/>
        </w:rPr>
        <w:t>5</w:t>
      </w:r>
      <w:r>
        <w:rPr>
          <w:rFonts w:hint="eastAsia"/>
          <w:bCs/>
        </w:rPr>
        <w:t>年内重点支持</w:t>
      </w:r>
      <w:r>
        <w:rPr>
          <w:rFonts w:cs="仿宋_GB2312"/>
          <w:bCs/>
        </w:rPr>
        <w:t>1500</w:t>
      </w:r>
      <w:r>
        <w:rPr>
          <w:rFonts w:hint="eastAsia"/>
          <w:bCs/>
        </w:rPr>
        <w:t>名以上海外优秀青年人才来闽开展学术交流。</w:t>
      </w:r>
    </w:p>
    <w:p>
      <w:pPr>
        <w:spacing w:line="600" w:lineRule="exact"/>
        <w:ind w:firstLine="640" w:firstLineChars="200"/>
        <w:rPr>
          <w:rFonts w:eastAsia="黑体"/>
        </w:rPr>
      </w:pPr>
      <w:r>
        <w:rPr>
          <w:rFonts w:hint="eastAsia" w:eastAsia="黑体" w:cs="黑体"/>
        </w:rPr>
        <w:t>二、支持对象</w:t>
      </w:r>
    </w:p>
    <w:p>
      <w:pPr>
        <w:spacing w:line="600" w:lineRule="exact"/>
        <w:ind w:firstLine="640" w:firstLineChars="200"/>
        <w:rPr>
          <w:color w:val="000000"/>
          <w:kern w:val="0"/>
          <w:shd w:val="clear" w:color="auto" w:fill="FFFFFF"/>
        </w:rPr>
      </w:pPr>
      <w:r>
        <w:rPr>
          <w:rFonts w:hint="eastAsia" w:hAnsi="仿宋_GB2312" w:cs="仿宋_GB2312"/>
          <w:color w:val="000000"/>
          <w:kern w:val="0"/>
          <w:shd w:val="clear" w:color="auto" w:fill="FFFFFF"/>
        </w:rPr>
        <w:t>申请支持的</w:t>
      </w:r>
      <w:r>
        <w:rPr>
          <w:rFonts w:hint="eastAsia" w:hAnsi="仿宋_GB2312" w:cs="仿宋_GB2312"/>
        </w:rPr>
        <w:t>海外优秀青年人才，须具备以下条件之一</w:t>
      </w:r>
      <w:r>
        <w:rPr>
          <w:rFonts w:hint="eastAsia" w:hAnsi="仿宋_GB2312" w:cs="仿宋_GB2312"/>
          <w:color w:val="000000"/>
          <w:kern w:val="0"/>
          <w:shd w:val="clear" w:color="auto" w:fill="FFFFFF"/>
        </w:rPr>
        <w:t>：</w:t>
      </w:r>
    </w:p>
    <w:p>
      <w:pPr>
        <w:widowControl/>
        <w:shd w:val="clear" w:color="auto" w:fill="FFFFFF"/>
        <w:spacing w:line="600" w:lineRule="exact"/>
        <w:ind w:firstLine="640"/>
      </w:pPr>
      <w:r>
        <w:rPr>
          <w:rFonts w:hint="eastAsia" w:hAnsi="仿宋_GB2312" w:cs="仿宋_GB2312"/>
        </w:rPr>
        <w:t>（一）就读于国际知名三大世界大学排名最新同时排名前</w:t>
      </w:r>
      <w:r>
        <w:t>200</w:t>
      </w:r>
      <w:r>
        <w:rPr>
          <w:rFonts w:hint="eastAsia" w:hAnsi="仿宋_GB2312" w:cs="仿宋_GB2312"/>
        </w:rPr>
        <w:t>的海外知名大学博士、硕士（含在读）。国际知名三大世界大学排名以</w:t>
      </w:r>
      <w:r>
        <w:t>ARWU</w:t>
      </w:r>
      <w:r>
        <w:rPr>
          <w:rFonts w:hint="eastAsia" w:hAnsi="仿宋_GB2312" w:cs="仿宋_GB2312"/>
        </w:rPr>
        <w:t>世界大学学术排名、</w:t>
      </w:r>
      <w:r>
        <w:t>QS</w:t>
      </w:r>
      <w:r>
        <w:rPr>
          <w:rFonts w:hint="eastAsia" w:hAnsi="仿宋_GB2312" w:cs="仿宋_GB2312"/>
        </w:rPr>
        <w:t>世界大学排名和</w:t>
      </w:r>
      <w:r>
        <w:t>THE</w:t>
      </w:r>
      <w:r>
        <w:rPr>
          <w:rFonts w:hint="eastAsia" w:hAnsi="仿宋_GB2312" w:cs="仿宋_GB2312"/>
        </w:rPr>
        <w:t>世界大学排名为准。</w:t>
      </w:r>
    </w:p>
    <w:p>
      <w:pPr>
        <w:widowControl/>
        <w:shd w:val="clear" w:color="auto" w:fill="FFFFFF"/>
        <w:spacing w:line="600" w:lineRule="exact"/>
        <w:ind w:firstLine="640"/>
      </w:pPr>
      <w:r>
        <w:rPr>
          <w:rFonts w:hint="eastAsia" w:hAnsi="仿宋_GB2312" w:cs="仿宋_GB2312"/>
        </w:rPr>
        <w:t>（二）在海外著名高校、研究机构、知名企业、金融机构担任相当于副教授、副研究员及以上职务的专家、学者或具有高级技术职务的研发人才。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Ansi="仿宋_GB2312"/>
        </w:rPr>
      </w:pPr>
      <w:r>
        <w:rPr>
          <w:rFonts w:hint="eastAsia" w:hAnsi="仿宋_GB2312" w:cs="仿宋_GB2312"/>
        </w:rPr>
        <w:t>（三）相关重点用人单位根据实际需要，邀请参加专场交流活动、具有硕士及以上学位的海外优秀青年人才。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黑体"/>
        </w:rPr>
      </w:pPr>
      <w:r>
        <w:rPr>
          <w:rFonts w:hint="eastAsia" w:eastAsia="黑体" w:cs="黑体"/>
        </w:rPr>
        <w:t>三、支持标准</w:t>
      </w:r>
    </w:p>
    <w:p>
      <w:pPr>
        <w:spacing w:line="600" w:lineRule="exact"/>
        <w:ind w:firstLine="640" w:firstLineChars="200"/>
        <w:rPr>
          <w:rStyle w:val="4"/>
          <w:b w:val="0"/>
          <w:bCs w:val="0"/>
          <w:kern w:val="0"/>
          <w:shd w:val="clear" w:color="auto" w:fill="FFFFFF"/>
        </w:rPr>
      </w:pPr>
      <w:r>
        <w:rPr>
          <w:rStyle w:val="4"/>
          <w:rFonts w:hint="eastAsia" w:cs="仿宋_GB2312"/>
          <w:b w:val="0"/>
          <w:kern w:val="0"/>
          <w:shd w:val="clear" w:color="auto" w:fill="FFFFFF"/>
        </w:rPr>
        <w:t>支持资金实行“固定标准包干制”，主要用于</w:t>
      </w:r>
      <w:r>
        <w:rPr>
          <w:rFonts w:hint="eastAsia" w:cs="仿宋_GB2312"/>
          <w:shd w:val="clear" w:color="auto" w:fill="FFFFFF"/>
        </w:rPr>
        <w:t>差旅、科研研讨、实地考察、</w:t>
      </w:r>
      <w:r>
        <w:rPr>
          <w:rFonts w:hint="eastAsia" w:cs="仿宋_GB2312"/>
        </w:rPr>
        <w:t>讲课等，</w:t>
      </w:r>
      <w:r>
        <w:rPr>
          <w:rStyle w:val="4"/>
          <w:rFonts w:hint="eastAsia" w:cs="仿宋_GB2312"/>
          <w:b w:val="0"/>
          <w:kern w:val="0"/>
          <w:shd w:val="clear" w:color="auto" w:fill="FFFFFF"/>
        </w:rPr>
        <w:t>标准如下：来自亚洲以外国家的人才每人资助</w:t>
      </w:r>
      <w:r>
        <w:rPr>
          <w:rStyle w:val="4"/>
          <w:b w:val="0"/>
          <w:kern w:val="0"/>
          <w:shd w:val="clear" w:color="auto" w:fill="FFFFFF"/>
        </w:rPr>
        <w:t>2.5</w:t>
      </w:r>
      <w:r>
        <w:rPr>
          <w:rStyle w:val="4"/>
          <w:rFonts w:hint="eastAsia" w:cs="仿宋_GB2312"/>
          <w:b w:val="0"/>
          <w:kern w:val="0"/>
          <w:shd w:val="clear" w:color="auto" w:fill="FFFFFF"/>
        </w:rPr>
        <w:t>万元；来自亚洲国家（不含大陆及台港澳地区）的人才每人资助</w:t>
      </w:r>
      <w:r>
        <w:rPr>
          <w:rStyle w:val="4"/>
          <w:b w:val="0"/>
          <w:kern w:val="0"/>
          <w:shd w:val="clear" w:color="auto" w:fill="FFFFFF"/>
        </w:rPr>
        <w:t>2</w:t>
      </w:r>
      <w:r>
        <w:rPr>
          <w:rStyle w:val="4"/>
          <w:rFonts w:hint="eastAsia" w:cs="仿宋_GB2312"/>
          <w:b w:val="0"/>
          <w:kern w:val="0"/>
          <w:shd w:val="clear" w:color="auto" w:fill="FFFFFF"/>
        </w:rPr>
        <w:t>万元；来自大陆及台港澳地区的人才每人资助</w:t>
      </w:r>
      <w:r>
        <w:rPr>
          <w:rStyle w:val="4"/>
          <w:b w:val="0"/>
          <w:kern w:val="0"/>
          <w:shd w:val="clear" w:color="auto" w:fill="FFFFFF"/>
        </w:rPr>
        <w:t>1</w:t>
      </w:r>
      <w:r>
        <w:rPr>
          <w:rStyle w:val="4"/>
          <w:rFonts w:hint="eastAsia" w:cs="仿宋_GB2312"/>
          <w:b w:val="0"/>
          <w:kern w:val="0"/>
          <w:shd w:val="clear" w:color="auto" w:fill="FFFFFF"/>
        </w:rPr>
        <w:t>万元。</w:t>
      </w:r>
    </w:p>
    <w:p>
      <w:pPr>
        <w:spacing w:line="600" w:lineRule="exact"/>
        <w:ind w:firstLine="640" w:firstLineChars="200"/>
        <w:rPr>
          <w:rFonts w:eastAsia="黑体"/>
        </w:rPr>
      </w:pPr>
      <w:r>
        <w:rPr>
          <w:rFonts w:hint="eastAsia" w:eastAsia="黑体" w:cs="黑体"/>
        </w:rPr>
        <w:t>四、工作程序</w:t>
      </w:r>
    </w:p>
    <w:p>
      <w:pPr>
        <w:spacing w:line="600" w:lineRule="exact"/>
        <w:ind w:firstLine="643" w:firstLineChars="200"/>
        <w:rPr>
          <w:rFonts w:hAnsi="仿宋_GB2312"/>
        </w:rPr>
      </w:pPr>
      <w:r>
        <w:rPr>
          <w:rFonts w:hint="eastAsia" w:ascii="楷体_GB2312" w:eastAsia="楷体_GB2312" w:cs="楷体_GB2312"/>
          <w:b/>
          <w:bCs/>
        </w:rPr>
        <w:t>（一）线上申请。</w:t>
      </w:r>
      <w:r>
        <w:rPr>
          <w:rFonts w:hint="eastAsia" w:cs="仿宋_GB2312"/>
        </w:rPr>
        <w:t>海外优秀青年人才通过“赴闽网”常态化提交来闽学术交流申请</w:t>
      </w:r>
      <w:r>
        <w:rPr>
          <w:rFonts w:hint="eastAsia" w:hAnsi="仿宋_GB2312" w:cs="仿宋_GB2312"/>
        </w:rPr>
        <w:t>。</w:t>
      </w:r>
    </w:p>
    <w:p>
      <w:pPr>
        <w:spacing w:line="600" w:lineRule="exact"/>
        <w:ind w:firstLine="643" w:firstLineChars="200"/>
        <w:rPr>
          <w:rFonts w:hAnsi="仿宋_GB2312"/>
          <w:b/>
          <w:bCs/>
        </w:rPr>
      </w:pPr>
      <w:r>
        <w:rPr>
          <w:rFonts w:hint="eastAsia" w:ascii="楷体_GB2312" w:eastAsia="楷体_GB2312" w:cs="楷体_GB2312"/>
          <w:b/>
          <w:bCs/>
        </w:rPr>
        <w:t>（二）对接匹配。</w:t>
      </w:r>
      <w:r>
        <w:rPr>
          <w:rFonts w:hint="eastAsia" w:cs="仿宋_GB2312"/>
        </w:rPr>
        <w:t>省留学人员创业园管理中心对申请人选专业领域、交流意向等进行梳理匹配，将人才推荐给用人单位。用人单位在收到推荐人选信息后</w:t>
      </w:r>
      <w:r>
        <w:t>5</w:t>
      </w:r>
      <w:r>
        <w:rPr>
          <w:rFonts w:hint="eastAsia" w:cs="仿宋_GB2312"/>
        </w:rPr>
        <w:t>个工作日内，书面反馈对接意向，并及时更新对接交流情况；对拟邀请来闽的海外优秀人才，向省人社厅提出支持申请。</w:t>
      </w:r>
    </w:p>
    <w:p>
      <w:pPr>
        <w:spacing w:line="600" w:lineRule="exact"/>
        <w:ind w:firstLine="643" w:firstLineChars="200"/>
        <w:rPr>
          <w:b/>
          <w:bCs/>
        </w:rPr>
      </w:pPr>
      <w:r>
        <w:rPr>
          <w:rFonts w:hint="eastAsia" w:ascii="楷体_GB2312" w:eastAsia="楷体_GB2312" w:cs="楷体_GB2312"/>
          <w:b/>
          <w:bCs/>
        </w:rPr>
        <w:t>（三）审核确认。</w:t>
      </w:r>
      <w:r>
        <w:rPr>
          <w:rFonts w:hint="eastAsia" w:cs="仿宋_GB2312"/>
        </w:rPr>
        <w:t>根据用人单位对接情况，省人社厅对拟邀请人选进行审核确认。</w:t>
      </w:r>
    </w:p>
    <w:p>
      <w:pPr>
        <w:spacing w:line="600" w:lineRule="exact"/>
        <w:ind w:firstLine="643" w:firstLineChars="200"/>
      </w:pPr>
      <w:r>
        <w:rPr>
          <w:rFonts w:hint="eastAsia" w:ascii="楷体_GB2312" w:eastAsia="楷体_GB2312" w:cs="楷体_GB2312"/>
          <w:b/>
          <w:bCs/>
        </w:rPr>
        <w:t>（四）组织交流。</w:t>
      </w:r>
      <w:r>
        <w:rPr>
          <w:rFonts w:hint="eastAsia" w:cs="仿宋_GB2312"/>
        </w:rPr>
        <w:t>用人单位组织海外优秀青年来闽开展学术交流，</w:t>
      </w:r>
      <w:r>
        <w:rPr>
          <w:rFonts w:hint="eastAsia" w:hAnsi="仿宋_GB2312" w:cs="仿宋_GB2312"/>
        </w:rPr>
        <w:t>通过实地参观有关园区、企业、高校、科研院所等多种方式，帮助海外优秀青年深入了解我省创业创新环境，积极促进他们以全职引进、项目合作等多种方式落地我省。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bCs/>
        </w:rPr>
      </w:pPr>
      <w:r>
        <w:rPr>
          <w:rFonts w:hint="eastAsia" w:ascii="楷体_GB2312" w:eastAsia="楷体_GB2312" w:cs="楷体_GB2312"/>
          <w:b/>
          <w:bCs/>
        </w:rPr>
        <w:t>（五）资金拨付。</w:t>
      </w:r>
    </w:p>
    <w:p>
      <w:pPr>
        <w:spacing w:line="600" w:lineRule="exact"/>
        <w:ind w:firstLine="640" w:firstLineChars="200"/>
        <w:rPr>
          <w:b/>
          <w:bCs/>
        </w:rPr>
      </w:pPr>
      <w:r>
        <w:t>1.</w:t>
      </w:r>
      <w:r>
        <w:rPr>
          <w:rFonts w:hint="eastAsia" w:cs="仿宋_GB2312"/>
        </w:rPr>
        <w:t>支持资金实行“先垫后补”，即：用人单位先行垫资开展活动，按规定收集、整理、审核、留存相关材料，将支持资金发放给有关人才。</w:t>
      </w:r>
    </w:p>
    <w:p>
      <w:pPr>
        <w:spacing w:line="600" w:lineRule="exact"/>
        <w:ind w:firstLine="640" w:firstLineChars="200"/>
      </w:pPr>
      <w:r>
        <w:t>2.</w:t>
      </w:r>
      <w:r>
        <w:rPr>
          <w:rFonts w:hint="eastAsia" w:hAnsi="仿宋_GB2312" w:cs="仿宋_GB2312"/>
        </w:rPr>
        <w:t>遵循</w:t>
      </w:r>
      <w:r>
        <w:rPr>
          <w:rFonts w:hint="eastAsia" w:cs="仿宋_GB2312"/>
        </w:rPr>
        <w:t>“</w:t>
      </w:r>
      <w:r>
        <w:rPr>
          <w:rFonts w:hint="eastAsia" w:hAnsi="仿宋_GB2312" w:cs="仿宋_GB2312"/>
        </w:rPr>
        <w:t>谁承办、谁使用、谁负责</w:t>
      </w:r>
      <w:r>
        <w:rPr>
          <w:rFonts w:hint="eastAsia" w:cs="仿宋_GB2312"/>
        </w:rPr>
        <w:t>”</w:t>
      </w:r>
      <w:r>
        <w:rPr>
          <w:rFonts w:hint="eastAsia" w:hAnsi="仿宋_GB2312" w:cs="仿宋_GB2312"/>
        </w:rPr>
        <w:t>的原则，由用人单位全权负责支持资金申领材料的审核。申领</w:t>
      </w:r>
      <w:r>
        <w:rPr>
          <w:rFonts w:hint="eastAsia" w:cs="仿宋_GB2312"/>
        </w:rPr>
        <w:t>材料包括：</w:t>
      </w:r>
      <w:r>
        <w:rPr>
          <w:rFonts w:hint="eastAsia" w:hAnsi="仿宋_GB2312" w:cs="仿宋_GB2312"/>
        </w:rPr>
        <w:t>护照（含活动举办之日前</w:t>
      </w:r>
      <w:r>
        <w:t>3</w:t>
      </w:r>
      <w:r>
        <w:rPr>
          <w:rFonts w:hint="eastAsia" w:hAnsi="仿宋_GB2312" w:cs="仿宋_GB2312"/>
        </w:rPr>
        <w:t>个月内的入境签注）、国际机票电子行程单的复印件。入境超过</w:t>
      </w:r>
      <w:r>
        <w:t>3</w:t>
      </w:r>
      <w:r>
        <w:rPr>
          <w:rFonts w:hint="eastAsia" w:hAnsi="仿宋_GB2312" w:cs="仿宋_GB2312"/>
        </w:rPr>
        <w:t>个月或者未能提供国际机票的，视为大陆及台港澳标准给予支持。</w:t>
      </w:r>
    </w:p>
    <w:p>
      <w:pPr>
        <w:spacing w:line="600" w:lineRule="exact"/>
        <w:ind w:firstLine="640" w:firstLineChars="200"/>
      </w:pPr>
      <w:r>
        <w:t>3.</w:t>
      </w:r>
      <w:r>
        <w:rPr>
          <w:rFonts w:hint="eastAsia" w:cs="仿宋_GB2312"/>
        </w:rPr>
        <w:t>活动结束后，用人单位将经费申请报告，活动人员名单（含签到表）、支持资金签领表、成效总结（含照片）、经费发票（或行政事业单位往来票据）等提交省留学人员创业园管理中心进行审核。</w:t>
      </w:r>
    </w:p>
    <w:p>
      <w:pPr>
        <w:spacing w:line="600" w:lineRule="exact"/>
        <w:ind w:firstLine="640" w:firstLineChars="200"/>
      </w:pPr>
      <w:r>
        <w:t>4.</w:t>
      </w:r>
      <w:r>
        <w:rPr>
          <w:rFonts w:hint="eastAsia" w:cs="仿宋_GB2312"/>
        </w:rPr>
        <w:t>富闽基金会定期将支持经费集中拨至省留学人员创业园管理中心，</w:t>
      </w:r>
      <w:r>
        <w:rPr>
          <w:rFonts w:hint="eastAsia" w:hAnsi="仿宋_GB2312" w:cs="仿宋_GB2312"/>
        </w:rPr>
        <w:t>由其根据相关规定拨付用人单位</w:t>
      </w:r>
      <w:r>
        <w:rPr>
          <w:rFonts w:hint="eastAsia" w:cs="仿宋_GB2312"/>
        </w:rPr>
        <w:t>。</w:t>
      </w:r>
    </w:p>
    <w:p>
      <w:bookmarkStart w:id="0" w:name="_GoBack"/>
      <w:bookmarkEnd w:id="0"/>
    </w:p>
    <w:sectPr>
      <w:pgSz w:w="11906" w:h="16838"/>
      <w:pgMar w:top="1440" w:right="1519" w:bottom="1440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55ED5"/>
    <w:rsid w:val="6415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character" w:styleId="4">
    <w:name w:val="Strong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2021-03-30T12:03:00Z</dcterms:created>
  <dc:creator>user</dc:creator>
  <cp:lastModifiedBy>user</cp:lastModifiedBy>
  <dcterms:modified xsi:type="dcterms:W3CDTF">2021-03-30T12:04:36Z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