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hint="eastAsia" w:ascii="CESI黑体-GB18030" w:hAnsi="CESI黑体-GB18030" w:eastAsia="CESI黑体-GB18030" w:cs="CESI黑体-GB18030"/>
          <w:spacing w:val="-6"/>
        </w:rPr>
      </w:pPr>
      <w:bookmarkStart w:id="1" w:name="_GoBack"/>
      <w:bookmarkEnd w:id="1"/>
      <w:r>
        <w:rPr>
          <w:rFonts w:hint="eastAsia" w:ascii="CESI黑体-GB18030" w:hAnsi="CESI黑体-GB18030" w:eastAsia="CESI黑体-GB18030" w:cs="CESI黑体-GB18030"/>
        </w:rPr>
        <mc:AlternateContent>
          <mc:Choice Requires="wps">
            <w:drawing>
              <wp:anchor distT="0" distB="0" distL="114300" distR="114300" simplePos="0" relativeHeight="251665408" behindDoc="0" locked="1" layoutInCell="1" allowOverlap="1">
                <wp:simplePos x="0" y="0"/>
                <wp:positionH relativeFrom="margin">
                  <wp:posOffset>201930</wp:posOffset>
                </wp:positionH>
                <wp:positionV relativeFrom="page">
                  <wp:posOffset>8919210</wp:posOffset>
                </wp:positionV>
                <wp:extent cx="5200650" cy="36068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bookmarkStart w:id="0" w:name="copydelivery"/>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«抄送»</w:t>
                            </w:r>
                            <w:r>
                              <w:rPr>
                                <w:rFonts w:hint="eastAsia" w:ascii="仿宋_GB2312"/>
                                <w:sz w:val="28"/>
                                <w:szCs w:val="28"/>
                              </w:rPr>
                              <w:fldChar w:fldCharType="end"/>
                            </w:r>
                            <w:bookmarkEnd w:id="0"/>
                            <w:r>
                              <w:rPr>
                                <w:rFonts w:hint="eastAsia" w:ascii="仿宋_GB2312"/>
                                <w:sz w:val="28"/>
                                <w:szCs w:val="28"/>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702.3pt;height:28.4pt;width:409.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xMz72QAAAAwBAAAP&#10;AAAAAAAAAAEAIAAAACIAAABkcnMvZG93bnJldi54bWxQSwECFAAUAAAACACHTuJAzyhG/6UBAAAt&#10;AwAADgAAAAAAAAABACAAAAAoAQAAZHJzL2Uyb0RvYy54bWxQSwUGAAAAAAYABgBZAQAAPwUAAAAA&#10;">
                <v:path/>
                <v:fill on="f" focussize="0,0"/>
                <v:stroke on="f"/>
                <v:imagedata o:title=""/>
                <o:lock v:ext="edit"/>
                <v:textbox inset="0mm,0mm,0mm,0mm">
                  <w:txbxContent>
                    <w:p>
                      <w:pPr>
                        <w:spacing w:line="590" w:lineRule="exact"/>
                        <w:ind w:left="981" w:hanging="981"/>
                        <w:rPr>
                          <w:rFonts w:hint="eastAsia" w:ascii="仿宋_GB2312"/>
                          <w:szCs w:val="32"/>
                        </w:rPr>
                      </w:pPr>
                      <w:r>
                        <w:rPr>
                          <w:rFonts w:hint="eastAsia" w:ascii="仿宋_GB2312"/>
                          <w:sz w:val="28"/>
                          <w:szCs w:val="28"/>
                        </w:rPr>
                        <w:t>抄送：</w:t>
                      </w:r>
                      <w:bookmarkStart w:id="0" w:name="copydelivery"/>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«抄送»</w:t>
                      </w:r>
                      <w:r>
                        <w:rPr>
                          <w:rFonts w:hint="eastAsia" w:ascii="仿宋_GB2312"/>
                          <w:sz w:val="28"/>
                          <w:szCs w:val="28"/>
                        </w:rPr>
                        <w:fldChar w:fldCharType="end"/>
                      </w:r>
                      <w:bookmarkEnd w:id="0"/>
                      <w:r>
                        <w:rPr>
                          <w:rFonts w:hint="eastAsia" w:ascii="仿宋_GB2312"/>
                          <w:sz w:val="28"/>
                          <w:szCs w:val="28"/>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r>
        <w:rPr>
          <w:rFonts w:hint="eastAsia" w:ascii="CESI黑体-GB18030" w:hAnsi="CESI黑体-GB18030" w:eastAsia="CESI黑体-GB18030" w:cs="CESI黑体-GB18030"/>
          <w:spacing w:val="-6"/>
          <w:lang w:eastAsia="zh-CN"/>
        </w:rPr>
        <w:t>附件</w:t>
      </w:r>
    </w:p>
    <w:tbl>
      <w:tblPr>
        <w:tblStyle w:val="6"/>
        <w:tblW w:w="12959"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4"/>
        <w:gridCol w:w="5"/>
        <w:gridCol w:w="2905"/>
        <w:gridCol w:w="2640"/>
        <w:gridCol w:w="2625"/>
        <w:gridCol w:w="1987"/>
        <w:gridCol w:w="1515"/>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2959" w:type="dxa"/>
            <w:gridSpan w:val="8"/>
            <w:tcBorders>
              <w:top w:val="nil"/>
              <w:left w:val="nil"/>
              <w:bottom w:val="single" w:color="auto" w:sz="4" w:space="0"/>
              <w:right w:val="nil"/>
              <w:tl2br w:val="nil"/>
              <w:tr2bl w:val="nil"/>
            </w:tcBorders>
            <w:vAlign w:val="top"/>
          </w:tcPr>
          <w:p>
            <w:pPr>
              <w:spacing w:beforeLines="0" w:afterLines="0"/>
              <w:jc w:val="center"/>
              <w:rPr>
                <w:rFonts w:hint="eastAsia" w:ascii="黑体" w:hAnsi="黑体" w:eastAsia="黑体" w:cs="Times New Roman"/>
                <w:color w:val="000000"/>
                <w:sz w:val="36"/>
              </w:rPr>
            </w:pPr>
            <w:r>
              <w:rPr>
                <w:rFonts w:hint="eastAsia" w:ascii="黑体" w:hAnsi="黑体" w:eastAsia="黑体" w:cs="Times New Roman"/>
                <w:color w:val="000000"/>
                <w:sz w:val="36"/>
              </w:rPr>
              <w:t xml:space="preserve"> </w:t>
            </w:r>
            <w:r>
              <w:rPr>
                <w:rFonts w:hint="eastAsia" w:ascii="黑体" w:hAnsi="黑体" w:eastAsia="黑体" w:cs="Times New Roman"/>
                <w:color w:val="000000"/>
                <w:sz w:val="36"/>
                <w:lang w:val="en-US" w:eastAsia="zh-CN"/>
              </w:rPr>
              <w:t xml:space="preserve">  </w:t>
            </w:r>
            <w:r>
              <w:rPr>
                <w:rFonts w:hint="eastAsia" w:ascii="方正小标宋简体" w:hAnsi="方正小标宋简体" w:eastAsia="方正小标宋简体" w:cs="方正小标宋简体"/>
                <w:color w:val="000000"/>
                <w:sz w:val="44"/>
                <w:szCs w:val="44"/>
              </w:rPr>
              <w:t>福建省人社系统随机抽查事项清单（第</w:t>
            </w:r>
            <w:r>
              <w:rPr>
                <w:rFonts w:hint="eastAsia" w:ascii="方正小标宋简体" w:hAnsi="方正小标宋简体" w:eastAsia="方正小标宋简体" w:cs="方正小标宋简体"/>
                <w:color w:val="000000"/>
                <w:sz w:val="44"/>
                <w:szCs w:val="44"/>
                <w:lang w:eastAsia="zh-CN"/>
              </w:rPr>
              <w:t>三</w:t>
            </w:r>
            <w:r>
              <w:rPr>
                <w:rFonts w:hint="eastAsia" w:ascii="方正小标宋简体" w:hAnsi="方正小标宋简体" w:eastAsia="方正小标宋简体" w:cs="方正小标宋简体"/>
                <w:color w:val="000000"/>
                <w:sz w:val="44"/>
                <w:szCs w:val="44"/>
              </w:rPr>
              <w:t>版）</w:t>
            </w:r>
            <w:r>
              <w:rPr>
                <w:rFonts w:hint="eastAsia" w:ascii="黑体" w:hAnsi="黑体" w:eastAsia="黑体" w:cs="Times New Roman"/>
                <w:color w:val="000000"/>
                <w:sz w:val="3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s="Times New Roman"/>
                <w:color w:val="000000"/>
                <w:sz w:val="24"/>
              </w:rPr>
            </w:pPr>
            <w:r>
              <w:rPr>
                <w:rFonts w:hint="eastAsia" w:ascii="方正小标宋简体" w:hAnsi="方正小标宋简体" w:eastAsia="方正小标宋简体" w:cs="Times New Roman"/>
                <w:color w:val="000000"/>
                <w:sz w:val="24"/>
              </w:rPr>
              <w:t>一、市场监管执法事项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s="Times New Roman"/>
                <w:color w:val="000000"/>
                <w:sz w:val="24"/>
              </w:rPr>
            </w:pPr>
            <w:r>
              <w:rPr>
                <w:rFonts w:hint="eastAsia" w:ascii="方正小标宋简体" w:hAnsi="方正小标宋简体" w:eastAsia="方正小标宋简体" w:cs="Times New Roman"/>
                <w:color w:val="000000"/>
                <w:sz w:val="24"/>
              </w:rPr>
              <w:t>（一）对行政许可批设市场主体的监督检查（共4项）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19"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序号</w:t>
            </w:r>
          </w:p>
        </w:tc>
        <w:tc>
          <w:tcPr>
            <w:tcW w:w="290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抽查内容</w:t>
            </w:r>
          </w:p>
        </w:tc>
        <w:tc>
          <w:tcPr>
            <w:tcW w:w="1987"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实施主体</w:t>
            </w:r>
          </w:p>
        </w:tc>
        <w:tc>
          <w:tcPr>
            <w:tcW w:w="151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cs="Times New Roman"/>
                <w:b/>
                <w:color w:val="000000"/>
                <w:sz w:val="22"/>
                <w:lang w:eastAsia="zh-CN"/>
              </w:rPr>
            </w:pPr>
            <w:r>
              <w:rPr>
                <w:rFonts w:hint="eastAsia" w:ascii="宋体" w:hAnsi="宋体" w:cs="Times New Roman"/>
                <w:b/>
                <w:color w:val="000000"/>
                <w:sz w:val="22"/>
              </w:rPr>
              <w:t>省厅业务主管处室</w:t>
            </w:r>
            <w:r>
              <w:rPr>
                <w:rFonts w:hint="eastAsia" w:ascii="宋体" w:hAnsi="宋体" w:cs="Times New Roman"/>
                <w:b/>
                <w:color w:val="000000"/>
                <w:sz w:val="22"/>
                <w:lang w:eastAsia="zh-CN"/>
              </w:rPr>
              <w:t>、单位</w:t>
            </w:r>
          </w:p>
        </w:tc>
        <w:tc>
          <w:tcPr>
            <w:tcW w:w="668"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1" w:hRule="atLeast"/>
        </w:trPr>
        <w:tc>
          <w:tcPr>
            <w:tcW w:w="619" w:type="dxa"/>
            <w:gridSpan w:val="2"/>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1</w:t>
            </w:r>
          </w:p>
        </w:tc>
        <w:tc>
          <w:tcPr>
            <w:tcW w:w="2905"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对经营性人力资源服务机构的监督检查</w:t>
            </w:r>
          </w:p>
        </w:tc>
        <w:tc>
          <w:tcPr>
            <w:tcW w:w="2640"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《人力资源市场暂行条例》（中华人民共和国国务院令 第700号 经2018年5月2日国务院第7次常务会议通过）</w:t>
            </w:r>
          </w:p>
        </w:tc>
        <w:tc>
          <w:tcPr>
            <w:tcW w:w="2625" w:type="dxa"/>
            <w:vMerge w:val="restart"/>
            <w:tcBorders>
              <w:top w:val="single" w:color="auto" w:sz="6" w:space="0"/>
              <w:left w:val="single" w:color="auto" w:sz="6" w:space="0"/>
              <w:bottom w:val="nil"/>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1.检查对象遵守有关法律法规情况；</w:t>
            </w:r>
          </w:p>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2.检查对象严格按照许可范围及有关规范开展业务情况；</w:t>
            </w:r>
          </w:p>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3.检查对象申请批设时提交材料的准确性和真实性；</w:t>
            </w:r>
          </w:p>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4.被投诉举报事项情况核查；</w:t>
            </w:r>
          </w:p>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5.其他根据法律法规规章规定可以检查的内容。</w:t>
            </w:r>
          </w:p>
        </w:tc>
        <w:tc>
          <w:tcPr>
            <w:tcW w:w="1987"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省、市、县级人社部门分级负责</w:t>
            </w:r>
          </w:p>
        </w:tc>
        <w:tc>
          <w:tcPr>
            <w:tcW w:w="1515"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人力资源开发处</w:t>
            </w:r>
          </w:p>
        </w:tc>
        <w:tc>
          <w:tcPr>
            <w:tcW w:w="668"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1" w:hRule="atLeast"/>
        </w:trPr>
        <w:tc>
          <w:tcPr>
            <w:tcW w:w="6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2</w:t>
            </w:r>
          </w:p>
        </w:tc>
        <w:tc>
          <w:tcPr>
            <w:tcW w:w="2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对民办职业资格培训、职业技能培训学校的监督检查</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《民办教育促进法》</w:t>
            </w:r>
          </w:p>
        </w:tc>
        <w:tc>
          <w:tcPr>
            <w:tcW w:w="2625" w:type="dxa"/>
            <w:vMerge w:val="continue"/>
            <w:tcBorders>
              <w:top w:val="nil"/>
              <w:left w:val="single" w:color="auto" w:sz="6" w:space="0"/>
              <w:bottom w:val="nil"/>
              <w:right w:val="single" w:color="auto" w:sz="6" w:space="0"/>
              <w:tl2br w:val="nil"/>
              <w:tr2bl w:val="nil"/>
            </w:tcBorders>
            <w:vAlign w:val="center"/>
          </w:tcPr>
          <w:p>
            <w:pPr>
              <w:spacing w:beforeLines="0" w:afterLines="0"/>
              <w:jc w:val="both"/>
              <w:rPr>
                <w:rFonts w:hint="eastAsia" w:ascii="宋体" w:hAnsi="宋体" w:cs="Times New Roman"/>
                <w:color w:val="000000"/>
                <w:sz w:val="24"/>
              </w:rPr>
            </w:pPr>
          </w:p>
        </w:tc>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市、县级人社部门分级负责</w:t>
            </w:r>
          </w:p>
        </w:tc>
        <w:tc>
          <w:tcPr>
            <w:tcW w:w="151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职业能力建设处</w:t>
            </w:r>
          </w:p>
        </w:tc>
        <w:tc>
          <w:tcPr>
            <w:tcW w:w="6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19" w:type="dxa"/>
            <w:gridSpan w:val="2"/>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3</w:t>
            </w:r>
          </w:p>
        </w:tc>
        <w:tc>
          <w:tcPr>
            <w:tcW w:w="2905"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对民办技工学校的监督检查</w:t>
            </w:r>
          </w:p>
        </w:tc>
        <w:tc>
          <w:tcPr>
            <w:tcW w:w="2640"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《民办教育促进法》、《技工学校教育督导评估暂行规定》</w:t>
            </w:r>
          </w:p>
        </w:tc>
        <w:tc>
          <w:tcPr>
            <w:tcW w:w="2625" w:type="dxa"/>
            <w:vMerge w:val="continue"/>
            <w:tcBorders>
              <w:top w:val="nil"/>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p>
        </w:tc>
        <w:tc>
          <w:tcPr>
            <w:tcW w:w="1987"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eastAsia="仿宋_GB2312" w:cs="Times New Roman"/>
                <w:i w:val="0"/>
                <w:caps w:val="0"/>
                <w:color w:val="000000"/>
                <w:spacing w:val="0"/>
                <w:kern w:val="2"/>
                <w:sz w:val="24"/>
                <w:szCs w:val="24"/>
                <w:lang w:val="en-US" w:eastAsia="zh-CN" w:bidi="ar"/>
              </w:rPr>
              <w:t>省人社厅（委托除厦门、福州外各设区市、平潭综合试验区</w:t>
            </w:r>
            <w:r>
              <w:rPr>
                <w:rFonts w:hint="eastAsia" w:ascii="宋体" w:hAnsi="宋体" w:cs="Times New Roman"/>
                <w:i w:val="0"/>
                <w:caps w:val="0"/>
                <w:color w:val="000000"/>
                <w:spacing w:val="0"/>
                <w:kern w:val="2"/>
                <w:sz w:val="24"/>
                <w:szCs w:val="24"/>
                <w:lang w:val="en-US" w:eastAsia="zh-CN" w:bidi="ar"/>
              </w:rPr>
              <w:t>人社部门办理</w:t>
            </w:r>
            <w:r>
              <w:rPr>
                <w:rFonts w:hint="eastAsia" w:ascii="宋体" w:hAnsi="宋体" w:eastAsia="仿宋_GB2312" w:cs="Times New Roman"/>
                <w:i w:val="0"/>
                <w:caps w:val="0"/>
                <w:color w:val="000000"/>
                <w:spacing w:val="0"/>
                <w:kern w:val="2"/>
                <w:sz w:val="24"/>
                <w:szCs w:val="24"/>
                <w:lang w:val="en-US" w:eastAsia="zh-CN" w:bidi="ar"/>
              </w:rPr>
              <w:t>）；福州市、厦门市人社局</w:t>
            </w:r>
          </w:p>
        </w:tc>
        <w:tc>
          <w:tcPr>
            <w:tcW w:w="1515"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职业能力建设处</w:t>
            </w:r>
          </w:p>
        </w:tc>
        <w:tc>
          <w:tcPr>
            <w:tcW w:w="668"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6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4</w:t>
            </w:r>
          </w:p>
        </w:tc>
        <w:tc>
          <w:tcPr>
            <w:tcW w:w="2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eastAsia="仿宋_GB2312" w:cs="Times New Roman"/>
                <w:i w:val="0"/>
                <w:caps w:val="0"/>
                <w:color w:val="000000"/>
                <w:spacing w:val="0"/>
                <w:kern w:val="2"/>
                <w:sz w:val="24"/>
                <w:szCs w:val="24"/>
                <w:lang w:val="en-US" w:eastAsia="zh-CN" w:bidi="ar"/>
              </w:rPr>
              <w:t>对劳务派遣单位和用工单位的监督检查</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《劳动合同法》</w:t>
            </w:r>
            <w:r>
              <w:rPr>
                <w:rFonts w:hint="eastAsia" w:ascii="宋体" w:hAnsi="宋体" w:eastAsia="仿宋_GB2312" w:cs="Times New Roman"/>
                <w:i w:val="0"/>
                <w:caps w:val="0"/>
                <w:color w:val="000000"/>
                <w:spacing w:val="0"/>
                <w:kern w:val="2"/>
                <w:sz w:val="24"/>
                <w:szCs w:val="24"/>
                <w:lang w:val="en-US" w:eastAsia="zh-CN" w:bidi="ar"/>
              </w:rPr>
              <w:t>、</w:t>
            </w:r>
            <w:r>
              <w:rPr>
                <w:rFonts w:hint="eastAsia" w:ascii="宋体" w:hAnsi="宋体" w:cs="Times New Roman"/>
                <w:i w:val="0"/>
                <w:caps w:val="0"/>
                <w:color w:val="000000"/>
                <w:spacing w:val="0"/>
                <w:kern w:val="2"/>
                <w:sz w:val="24"/>
                <w:szCs w:val="24"/>
                <w:lang w:val="en-US" w:eastAsia="zh-CN" w:bidi="ar"/>
              </w:rPr>
              <w:t>《劳动合同法实施条例》、</w:t>
            </w:r>
            <w:r>
              <w:rPr>
                <w:rFonts w:hint="eastAsia" w:ascii="宋体" w:hAnsi="宋体" w:eastAsia="仿宋_GB2312" w:cs="Times New Roman"/>
                <w:i w:val="0"/>
                <w:caps w:val="0"/>
                <w:color w:val="000000"/>
                <w:spacing w:val="0"/>
                <w:kern w:val="2"/>
                <w:sz w:val="24"/>
                <w:szCs w:val="24"/>
                <w:lang w:val="en-US" w:eastAsia="zh-CN" w:bidi="ar"/>
              </w:rPr>
              <w:t>《劳务派遣暂行规定》、《劳务派遣行政许可实施办法》</w:t>
            </w:r>
          </w:p>
        </w:tc>
        <w:tc>
          <w:tcPr>
            <w:tcW w:w="26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p>
        </w:tc>
        <w:tc>
          <w:tcPr>
            <w:tcW w:w="198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市、县级人社部门分级负责</w:t>
            </w:r>
          </w:p>
        </w:tc>
        <w:tc>
          <w:tcPr>
            <w:tcW w:w="151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劳动关系处</w:t>
            </w:r>
          </w:p>
        </w:tc>
        <w:tc>
          <w:tcPr>
            <w:tcW w:w="6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s="Times New Roman"/>
                <w:color w:val="000000"/>
                <w:sz w:val="24"/>
              </w:rPr>
            </w:pPr>
            <w:r>
              <w:rPr>
                <w:rFonts w:hint="eastAsia" w:ascii="方正小标宋简体" w:hAnsi="方正小标宋简体" w:eastAsia="方正小标宋简体" w:cs="Times New Roman"/>
                <w:color w:val="000000"/>
                <w:sz w:val="24"/>
              </w:rPr>
              <w:t>（二）对用人单位的劳动保障监察（共8项）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614"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序号</w:t>
            </w:r>
          </w:p>
        </w:tc>
        <w:tc>
          <w:tcPr>
            <w:tcW w:w="2910"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抽查内容</w:t>
            </w:r>
          </w:p>
        </w:tc>
        <w:tc>
          <w:tcPr>
            <w:tcW w:w="1987"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实施主体</w:t>
            </w:r>
          </w:p>
        </w:tc>
        <w:tc>
          <w:tcPr>
            <w:tcW w:w="151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cs="Times New Roman"/>
                <w:b/>
                <w:color w:val="000000"/>
                <w:sz w:val="22"/>
                <w:lang w:eastAsia="zh-CN"/>
              </w:rPr>
            </w:pPr>
            <w:r>
              <w:rPr>
                <w:rFonts w:hint="eastAsia" w:ascii="宋体" w:hAnsi="宋体" w:cs="Times New Roman"/>
                <w:b/>
                <w:color w:val="000000"/>
                <w:sz w:val="22"/>
              </w:rPr>
              <w:t>省厅业务主管处室</w:t>
            </w:r>
            <w:r>
              <w:rPr>
                <w:rFonts w:hint="eastAsia" w:ascii="宋体" w:hAnsi="宋体" w:cs="Times New Roman"/>
                <w:b/>
                <w:color w:val="000000"/>
                <w:sz w:val="22"/>
                <w:lang w:eastAsia="zh-CN"/>
              </w:rPr>
              <w:t>、单位</w:t>
            </w:r>
          </w:p>
        </w:tc>
        <w:tc>
          <w:tcPr>
            <w:tcW w:w="668"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1</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对用人单位制定内部劳动保障规章制度情况的监察</w:t>
            </w:r>
          </w:p>
        </w:tc>
        <w:tc>
          <w:tcPr>
            <w:tcW w:w="264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《劳动保障监察条例》</w:t>
            </w:r>
          </w:p>
        </w:tc>
        <w:tc>
          <w:tcPr>
            <w:tcW w:w="2625" w:type="dxa"/>
            <w:vMerge w:val="restart"/>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ind w:firstLine="0" w:firstLineChars="0"/>
              <w:jc w:val="both"/>
              <w:rPr>
                <w:rFonts w:hint="eastAsia" w:ascii="宋体" w:hAnsi="宋体" w:cs="Times New Roman"/>
                <w:color w:val="000000"/>
                <w:sz w:val="24"/>
              </w:rPr>
            </w:pPr>
            <w:r>
              <w:rPr>
                <w:rFonts w:hint="eastAsia" w:ascii="宋体" w:hAnsi="宋体" w:cs="Times New Roman"/>
                <w:color w:val="000000"/>
                <w:sz w:val="24"/>
              </w:rPr>
              <w:t>用人单位遵守相关规章制度情况。</w:t>
            </w:r>
          </w:p>
          <w:p>
            <w:pPr>
              <w:spacing w:beforeLines="0" w:afterLines="0"/>
              <w:jc w:val="both"/>
              <w:rPr>
                <w:rFonts w:hint="eastAsia" w:ascii="宋体" w:hAnsi="宋体" w:cs="Times New Roman"/>
                <w:color w:val="000000"/>
                <w:sz w:val="24"/>
              </w:rPr>
            </w:pPr>
          </w:p>
        </w:tc>
        <w:tc>
          <w:tcPr>
            <w:tcW w:w="1987" w:type="dxa"/>
            <w:vMerge w:val="restart"/>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1.根据属地管理原则，由各级劳动保障监察机构负责；</w:t>
            </w:r>
          </w:p>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2.省级劳动保障监察机构会同有管辖权的劳动保障监察机构对涉及跨地区生产经营的央企省企开展双随机抽查活动。</w:t>
            </w:r>
          </w:p>
        </w:tc>
        <w:tc>
          <w:tcPr>
            <w:tcW w:w="1515" w:type="dxa"/>
            <w:vMerge w:val="restart"/>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厅劳动监察</w:t>
            </w:r>
            <w:r>
              <w:rPr>
                <w:rFonts w:hint="eastAsia" w:ascii="宋体" w:hAnsi="宋体" w:cs="Times New Roman"/>
                <w:color w:val="000000"/>
                <w:sz w:val="24"/>
                <w:lang w:eastAsia="zh-CN"/>
              </w:rPr>
              <w:t>局</w:t>
            </w: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2</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对用人单位劳动合同及招用工的监察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3</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对用人单位遵守禁止使用童工规定情况的监察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4</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对用人单位遵守女职工和未成年工特殊劳动保护规定情况的监察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0"/>
              </w:rPr>
            </w:pPr>
            <w:r>
              <w:rPr>
                <w:rFonts w:hint="eastAsia" w:ascii="宋体" w:hAnsi="宋体" w:cs="Times New Roman"/>
                <w:color w:val="000000"/>
                <w:sz w:val="20"/>
              </w:rPr>
              <w:t>5</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对用人单位遵守工作时间和休息休假规定情况的监察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4"/>
              </w:rPr>
            </w:pPr>
            <w:r>
              <w:rPr>
                <w:rFonts w:hint="eastAsia" w:ascii="宋体" w:hAnsi="宋体" w:cs="Times New Roman"/>
                <w:color w:val="000000"/>
                <w:sz w:val="24"/>
              </w:rPr>
              <w:t>6</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对用人单位支付劳动者工资和执行最低工资标准情况的监察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color w:val="000000"/>
                <w:sz w:val="24"/>
              </w:rPr>
            </w:pPr>
            <w:r>
              <w:rPr>
                <w:rFonts w:hint="eastAsia" w:ascii="宋体" w:hAnsi="宋体" w:cs="Times New Roman"/>
                <w:color w:val="000000"/>
                <w:sz w:val="24"/>
              </w:rPr>
              <w:t>7</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对用人单位参加各项社会保险和缴纳社会保险费情况的监察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14"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s="Times New Roman"/>
                <w:color w:val="000000"/>
                <w:sz w:val="24"/>
              </w:rPr>
            </w:pPr>
            <w:r>
              <w:rPr>
                <w:rFonts w:hint="eastAsia" w:ascii="宋体" w:hAnsi="宋体" w:cs="Times New Roman"/>
                <w:color w:val="000000"/>
                <w:sz w:val="24"/>
              </w:rPr>
              <w:t>8</w:t>
            </w:r>
          </w:p>
        </w:tc>
        <w:tc>
          <w:tcPr>
            <w:tcW w:w="2910" w:type="dxa"/>
            <w:gridSpan w:val="2"/>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对用人单位高温劳动保护的监察</w:t>
            </w:r>
          </w:p>
        </w:tc>
        <w:tc>
          <w:tcPr>
            <w:tcW w:w="2640"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r>
              <w:rPr>
                <w:rFonts w:hint="eastAsia" w:ascii="宋体" w:hAnsi="宋体" w:cs="Times New Roman"/>
                <w:color w:val="000000"/>
                <w:sz w:val="24"/>
              </w:rPr>
              <w:t>《劳动保障监察条例》、</w:t>
            </w:r>
          </w:p>
          <w:p>
            <w:pPr>
              <w:spacing w:beforeLines="0" w:afterLines="0"/>
              <w:jc w:val="left"/>
              <w:rPr>
                <w:rFonts w:hint="eastAsia" w:ascii="宋体" w:hAnsi="宋体" w:cs="Times New Roman"/>
                <w:color w:val="000000"/>
                <w:sz w:val="24"/>
              </w:rPr>
            </w:pPr>
            <w:r>
              <w:rPr>
                <w:rFonts w:hint="eastAsia" w:ascii="宋体" w:hAnsi="宋体" w:cs="Times New Roman"/>
                <w:color w:val="000000"/>
                <w:sz w:val="24"/>
              </w:rPr>
              <w:t>《防暑降温措施管理办法》</w:t>
            </w: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14"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eastAsia="仿宋_GB2312" w:cs="Times New Roman"/>
                <w:color w:val="000000"/>
                <w:sz w:val="24"/>
                <w:lang w:val="en-US" w:eastAsia="zh-CN"/>
              </w:rPr>
            </w:pPr>
            <w:r>
              <w:rPr>
                <w:rFonts w:hint="eastAsia" w:ascii="宋体" w:hAnsi="宋体" w:cs="Times New Roman"/>
                <w:color w:val="000000"/>
                <w:sz w:val="24"/>
                <w:lang w:val="en-US" w:eastAsia="zh-CN"/>
              </w:rPr>
              <w:t>9</w:t>
            </w:r>
          </w:p>
        </w:tc>
        <w:tc>
          <w:tcPr>
            <w:tcW w:w="2910" w:type="dxa"/>
            <w:gridSpan w:val="2"/>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eastAsia="仿宋_GB2312" w:cs="Times New Roman"/>
                <w:color w:val="000000"/>
                <w:sz w:val="24"/>
                <w:lang w:eastAsia="zh-CN"/>
              </w:rPr>
            </w:pPr>
            <w:r>
              <w:rPr>
                <w:rFonts w:hint="eastAsia" w:ascii="宋体" w:hAnsi="宋体" w:cs="Times New Roman"/>
                <w:color w:val="000000"/>
                <w:sz w:val="24"/>
                <w:lang w:eastAsia="zh-CN"/>
              </w:rPr>
              <w:t>妨碍行政执法</w:t>
            </w:r>
          </w:p>
        </w:tc>
        <w:tc>
          <w:tcPr>
            <w:tcW w:w="2640"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p>
            <w:pPr>
              <w:spacing w:beforeLines="0" w:afterLines="0"/>
              <w:jc w:val="center"/>
              <w:rPr>
                <w:rFonts w:hint="eastAsia" w:ascii="宋体" w:hAnsi="宋体" w:cs="Times New Roman"/>
                <w:color w:val="000000"/>
                <w:sz w:val="24"/>
              </w:rPr>
            </w:pPr>
            <w:r>
              <w:rPr>
                <w:rFonts w:hint="eastAsia" w:ascii="宋体" w:hAnsi="宋体" w:cs="Times New Roman"/>
                <w:color w:val="000000"/>
                <w:sz w:val="24"/>
              </w:rPr>
              <w:t>《劳动保障监察条例》</w:t>
            </w:r>
          </w:p>
        </w:tc>
        <w:tc>
          <w:tcPr>
            <w:tcW w:w="262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1987"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s="Times New Roman"/>
                <w:color w:val="000000"/>
                <w:sz w:val="24"/>
              </w:rPr>
            </w:pPr>
          </w:p>
        </w:tc>
        <w:tc>
          <w:tcPr>
            <w:tcW w:w="1515" w:type="dxa"/>
            <w:vMerge w:val="continue"/>
            <w:tcBorders>
              <w:top w:val="single" w:color="auto" w:sz="4"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24"/>
              </w:rPr>
            </w:pPr>
          </w:p>
        </w:tc>
        <w:tc>
          <w:tcPr>
            <w:tcW w:w="668"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s="Times New Roman"/>
                <w:color w:val="000000"/>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s="Times New Roman"/>
                <w:color w:val="000000"/>
                <w:sz w:val="24"/>
              </w:rPr>
            </w:pPr>
            <w:r>
              <w:rPr>
                <w:rFonts w:hint="eastAsia" w:ascii="方正小标宋简体" w:hAnsi="方正小标宋简体" w:eastAsia="方正小标宋简体" w:cs="Times New Roman"/>
                <w:color w:val="000000"/>
                <w:sz w:val="24"/>
              </w:rPr>
              <w:t>二、其他行政执法事项（共</w:t>
            </w:r>
            <w:r>
              <w:rPr>
                <w:rFonts w:hint="eastAsia" w:ascii="方正小标宋简体" w:hAnsi="方正小标宋简体" w:eastAsia="方正小标宋简体" w:cs="Times New Roman"/>
                <w:color w:val="000000"/>
                <w:sz w:val="24"/>
                <w:lang w:val="en-US" w:eastAsia="zh-CN"/>
              </w:rPr>
              <w:t>1</w:t>
            </w:r>
            <w:r>
              <w:rPr>
                <w:rFonts w:hint="eastAsia" w:ascii="方正小标宋简体" w:hAnsi="方正小标宋简体" w:eastAsia="方正小标宋简体" w:cs="Times New Roman"/>
                <w:color w:val="000000"/>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614"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序号</w:t>
            </w:r>
          </w:p>
        </w:tc>
        <w:tc>
          <w:tcPr>
            <w:tcW w:w="2910"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抽查内容</w:t>
            </w:r>
          </w:p>
        </w:tc>
        <w:tc>
          <w:tcPr>
            <w:tcW w:w="1987"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实施主体</w:t>
            </w:r>
          </w:p>
        </w:tc>
        <w:tc>
          <w:tcPr>
            <w:tcW w:w="151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cs="Times New Roman"/>
                <w:b/>
                <w:color w:val="000000"/>
                <w:sz w:val="22"/>
                <w:lang w:eastAsia="zh-CN"/>
              </w:rPr>
            </w:pPr>
            <w:r>
              <w:rPr>
                <w:rFonts w:hint="eastAsia" w:ascii="宋体" w:hAnsi="宋体" w:cs="Times New Roman"/>
                <w:b/>
                <w:color w:val="000000"/>
                <w:sz w:val="22"/>
              </w:rPr>
              <w:t>省厅</w:t>
            </w:r>
            <w:r>
              <w:rPr>
                <w:rFonts w:hint="eastAsia" w:ascii="宋体" w:hAnsi="宋体" w:cs="Times New Roman"/>
                <w:b/>
                <w:color w:val="000000"/>
                <w:sz w:val="22"/>
                <w:lang w:eastAsia="zh-CN"/>
              </w:rPr>
              <w:t>业务</w:t>
            </w:r>
            <w:r>
              <w:rPr>
                <w:rFonts w:hint="eastAsia" w:ascii="宋体" w:hAnsi="宋体" w:cs="Times New Roman"/>
                <w:b/>
                <w:color w:val="000000"/>
                <w:sz w:val="22"/>
              </w:rPr>
              <w:t>主管处室</w:t>
            </w:r>
            <w:r>
              <w:rPr>
                <w:rFonts w:hint="eastAsia" w:ascii="宋体" w:hAnsi="宋体" w:cs="Times New Roman"/>
                <w:b/>
                <w:color w:val="000000"/>
                <w:sz w:val="22"/>
                <w:lang w:eastAsia="zh-CN"/>
              </w:rPr>
              <w:t>、单位</w:t>
            </w:r>
          </w:p>
        </w:tc>
        <w:tc>
          <w:tcPr>
            <w:tcW w:w="668"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s="Times New Roman"/>
                <w:b/>
                <w:color w:val="000000"/>
                <w:sz w:val="22"/>
              </w:rPr>
            </w:pPr>
            <w:r>
              <w:rPr>
                <w:rFonts w:hint="eastAsia" w:ascii="宋体" w:hAnsi="宋体" w:cs="Times New Roman"/>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cs="Times New Roman"/>
                <w:color w:val="000000"/>
                <w:sz w:val="24"/>
                <w:lang w:eastAsia="zh-CN"/>
              </w:rPr>
            </w:pPr>
            <w:r>
              <w:rPr>
                <w:rFonts w:hint="eastAsia" w:ascii="宋体" w:hAnsi="宋体" w:cs="Times New Roman"/>
                <w:color w:val="000000"/>
                <w:sz w:val="24"/>
                <w:lang w:val="en-US" w:eastAsia="zh-CN"/>
              </w:rPr>
              <w:t>1</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社会保险待遇领取情况稽核</w:t>
            </w:r>
          </w:p>
        </w:tc>
        <w:tc>
          <w:tcPr>
            <w:tcW w:w="264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《社会保险法》《社会保险稽核办法》</w:t>
            </w:r>
          </w:p>
        </w:tc>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社会保险待遇领取情况。</w:t>
            </w:r>
          </w:p>
        </w:tc>
        <w:tc>
          <w:tcPr>
            <w:tcW w:w="198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省、市、县级人社部门分级负责</w:t>
            </w:r>
          </w:p>
        </w:tc>
        <w:tc>
          <w:tcPr>
            <w:tcW w:w="151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r>
              <w:rPr>
                <w:rFonts w:hint="eastAsia" w:ascii="宋体" w:hAnsi="宋体" w:cs="Times New Roman"/>
                <w:color w:val="000000"/>
                <w:sz w:val="24"/>
              </w:rPr>
              <w:t>省社保中心、省机关保中心、省城乡居民保中心</w:t>
            </w:r>
          </w:p>
        </w:tc>
        <w:tc>
          <w:tcPr>
            <w:tcW w:w="66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s="Times New Roman"/>
                <w:color w:val="000000"/>
                <w:sz w:val="24"/>
              </w:rPr>
            </w:pPr>
          </w:p>
        </w:tc>
      </w:tr>
    </w:tbl>
    <w:p>
      <w:pPr>
        <w:spacing w:line="596" w:lineRule="exact"/>
        <w:textAlignment w:val="top"/>
        <w:rPr>
          <w:rFonts w:hint="eastAsia" w:ascii="仿宋_GB2312"/>
        </w:rPr>
      </w:pPr>
    </w:p>
    <w:p>
      <w:pPr>
        <w:spacing w:line="596" w:lineRule="exact"/>
        <w:textAlignment w:val="top"/>
        <w:rPr>
          <w:rFonts w:hint="eastAsia" w:ascii="仿宋_GB2312"/>
        </w:rPr>
      </w:pPr>
    </w:p>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黑体-GB18030">
    <w:altName w:val="黑体"/>
    <w:panose1 w:val="02000500000000000000"/>
    <w:charset w:val="86"/>
    <w:family w:val="auto"/>
    <w:pitch w:val="default"/>
    <w:sig w:usb0="00000000" w:usb1="00000000" w:usb2="00000016" w:usb3="00000000" w:csb0="0004000F"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90854"/>
    <w:rsid w:val="77B90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2022-12-13T09:20:00Z</dcterms:created>
  <dc:creator>hjy</dc:creator>
  <cp:lastModifiedBy>hjy</cp:lastModifiedBy>
  <dcterms:modified xsi:type="dcterms:W3CDTF">2022-12-13T09:21:33Z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