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hint="eastAsia" w:ascii="黑体" w:hAnsi="黑体" w:eastAsia="黑体"/>
        </w:rPr>
      </w:pPr>
      <w:r>
        <w:rPr>
          <w:rFonts w:hint="eastAsia" w:ascii="黑体" w:hAnsi="黑体" w:eastAsia="黑体"/>
        </w:rPr>
        <w:t>附件1</w:t>
      </w:r>
    </w:p>
    <w:p>
      <w:pPr>
        <w:spacing w:line="596" w:lineRule="exact"/>
        <w:jc w:val="center"/>
        <w:textAlignment w:val="top"/>
        <w:rPr>
          <w:rFonts w:hint="eastAsia" w:ascii="方正小标宋简体" w:eastAsia="方正小标宋简体"/>
          <w:sz w:val="44"/>
          <w:szCs w:val="44"/>
        </w:rPr>
      </w:pPr>
      <w:r>
        <w:rPr>
          <w:rFonts w:hint="eastAsia" w:ascii="方正小标宋简体" w:eastAsia="方正小标宋简体"/>
          <w:sz w:val="44"/>
          <w:szCs w:val="44"/>
        </w:rPr>
        <w:t>福建省人力资源和社会保障厅</w:t>
      </w:r>
    </w:p>
    <w:p>
      <w:pPr>
        <w:spacing w:line="596" w:lineRule="exact"/>
        <w:jc w:val="center"/>
        <w:textAlignment w:val="top"/>
        <w:rPr>
          <w:rFonts w:hint="eastAsia" w:ascii="方正小标宋简体" w:eastAsia="方正小标宋简体"/>
          <w:sz w:val="44"/>
          <w:szCs w:val="44"/>
        </w:rPr>
      </w:pPr>
      <w:r>
        <w:rPr>
          <w:rFonts w:hint="eastAsia" w:ascii="方正小标宋简体" w:eastAsia="方正小标宋简体"/>
          <w:sz w:val="44"/>
          <w:szCs w:val="44"/>
        </w:rPr>
        <w:t>宣布废止的文件目录</w:t>
      </w:r>
    </w:p>
    <w:tbl>
      <w:tblPr>
        <w:tblStyle w:val="4"/>
        <w:tblpPr w:leftFromText="180" w:rightFromText="180" w:vertAnchor="text" w:horzAnchor="page" w:tblpX="1828" w:tblpY="417"/>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9"/>
        <w:gridCol w:w="1652"/>
        <w:gridCol w:w="462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序号</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文件名称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闽劳关〔1998〕22号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关于转发劳动部《关于企业实施股份制和股份合作制改造中履行劳动合同问题的通知》的通知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宣布废止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闽劳社文〔2005〕295号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福建省劳动和社会保障厅转发劳动和社会保障部关于确立劳动关系有关事项的通知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闽劳社文〔2007〕322号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关于处理工伤待遇争议案件若干问题的规定</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2"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闽劳社文〔2007〕367号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关于加强乡村地区用人单位</w:t>
            </w:r>
            <w:r>
              <w:rPr>
                <w:rFonts w:hint="eastAsia" w:ascii="仿宋_GB2312" w:hAnsi="仿宋_GB2312" w:cs="仿宋_GB2312"/>
                <w:i w:val="0"/>
                <w:color w:val="000000"/>
                <w:kern w:val="0"/>
                <w:sz w:val="24"/>
                <w:szCs w:val="24"/>
                <w:u w:val="none"/>
                <w:lang w:val="en-US" w:eastAsia="zh-CN" w:bidi="ar"/>
              </w:rPr>
              <w:t>劳动</w:t>
            </w:r>
            <w:r>
              <w:rPr>
                <w:rFonts w:hint="eastAsia" w:ascii="仿宋_GB2312" w:hAnsi="仿宋_GB2312" w:eastAsia="仿宋_GB2312" w:cs="仿宋_GB2312"/>
                <w:i w:val="0"/>
                <w:color w:val="000000"/>
                <w:kern w:val="0"/>
                <w:sz w:val="24"/>
                <w:szCs w:val="24"/>
                <w:u w:val="none"/>
                <w:lang w:val="en-US" w:eastAsia="zh-CN" w:bidi="ar"/>
              </w:rPr>
              <w:t>用工监管和执法监察工作的通知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闽人社文〔2013〕239号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 福建省经济贸易委员会 福建省卫生厅 福建省安全生产监督管理局 福建省国家税务局 福建省地方税务局 福建省总工会关于调整夏季高温津贴标准的通知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宣布废止</w:t>
            </w:r>
          </w:p>
        </w:tc>
      </w:tr>
    </w:tbl>
    <w:p>
      <w:pPr>
        <w:spacing w:line="560" w:lineRule="exact"/>
        <w:jc w:val="both"/>
        <w:rPr>
          <w:rFonts w:hint="eastAsia" w:ascii="仿宋_GB2312"/>
          <w:szCs w:val="32"/>
          <w:lang w:val="en-US" w:eastAsia="zh-CN"/>
        </w:rPr>
      </w:pPr>
    </w:p>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74624"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4624;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CQ9Uai&#10;rAEAADg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3600"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2021年11月15日翻印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73600;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O0wP&#10;TasBAAA4AwAADgAAAAAAAAABACAAAAAoAQAAZHJzL2Uyb0RvYy54bWxQSwUGAAAAAAYABgBZAQAA&#10;R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2021年11月15日翻印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2576"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4" name="直接连接符 4"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72576;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Cnybhq3wEAAKID&#10;AAAOAAAAAAAAAAEAIAAAACYBAABkcnMvZTJvRG9jLnhtbFBLBQYAAAAABgAGAFkBAAB3BQAAAAA=&#10;">
                <v:fill on="f" focussize="0,0"/>
                <v:stroke weight="1pt" color="#000000" joinstyle="round"/>
                <v:imagedata o:title=""/>
                <o:lock v:ext="edit" aspectratio="f"/>
                <w10:wrap type="topAndBottom"/>
                <w10:anchorlock/>
              </v:line>
            </w:pict>
          </mc:Fallback>
        </mc:AlternateContent>
      </w: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96" w:lineRule="exact"/>
        <w:textAlignment w:val="top"/>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p>
    <w:p>
      <w:pPr>
        <w:spacing w:line="596" w:lineRule="exact"/>
        <w:jc w:val="center"/>
        <w:textAlignment w:val="top"/>
        <w:rPr>
          <w:rFonts w:hint="eastAsia" w:ascii="方正小标宋简体" w:eastAsia="方正小标宋简体"/>
          <w:sz w:val="44"/>
          <w:szCs w:val="44"/>
        </w:rPr>
      </w:pPr>
      <w:r>
        <w:rPr>
          <w:rFonts w:hint="eastAsia" w:ascii="方正小标宋简体" w:eastAsia="方正小标宋简体"/>
          <w:sz w:val="44"/>
          <w:szCs w:val="44"/>
        </w:rPr>
        <w:t>福建省人力资源和社会保障厅</w:t>
      </w:r>
    </w:p>
    <w:p>
      <w:pPr>
        <w:spacing w:line="596" w:lineRule="exact"/>
        <w:jc w:val="center"/>
        <w:textAlignment w:val="top"/>
        <w:rPr>
          <w:rFonts w:hint="eastAsia" w:ascii="方正小标宋简体" w:eastAsia="方正小标宋简体"/>
          <w:sz w:val="44"/>
          <w:szCs w:val="44"/>
        </w:rPr>
      </w:pPr>
      <w:r>
        <w:rPr>
          <w:rFonts w:hint="eastAsia" w:ascii="方正小标宋简体" w:eastAsia="方正小标宋简体"/>
          <w:sz w:val="44"/>
          <w:szCs w:val="44"/>
        </w:rPr>
        <w:t>宣布</w:t>
      </w:r>
      <w:r>
        <w:rPr>
          <w:rFonts w:hint="eastAsia" w:ascii="方正小标宋简体" w:eastAsia="方正小标宋简体"/>
          <w:sz w:val="44"/>
          <w:szCs w:val="44"/>
          <w:lang w:eastAsia="zh-CN"/>
        </w:rPr>
        <w:t>失效</w:t>
      </w:r>
      <w:r>
        <w:rPr>
          <w:rFonts w:hint="eastAsia" w:ascii="方正小标宋简体" w:eastAsia="方正小标宋简体"/>
          <w:sz w:val="44"/>
          <w:szCs w:val="44"/>
        </w:rPr>
        <w:t>的文件目录</w:t>
      </w:r>
    </w:p>
    <w:tbl>
      <w:tblPr>
        <w:tblStyle w:val="4"/>
        <w:tblpPr w:leftFromText="180" w:rightFromText="180" w:vertAnchor="text" w:horzAnchor="page" w:tblpX="1828" w:tblpY="417"/>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9"/>
        <w:gridCol w:w="1652"/>
        <w:gridCol w:w="462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序号</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文件名称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闽劳综〔1999〕21号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福建省劳动厅、财政厅转发劳动和社会保障部、财政部《关于做好1999年企业工资总额同经济效益挂钩工作的通知》的通知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闽人社文〔2015〕223号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关于发布福建省2015年企业工资指导线的通知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闽人社文〔2016〕357号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关于发布福建省2016年企业工资指导线的通知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闽人社文〔2017〕224号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关于发布福建省2017年企业工资指导线的通知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闽人社文〔2018〕177号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关于发布福建省2018年企业工资指导线的通知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2"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闽人社文〔2019〕241号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关于发布福建省2019年企业工资指导线的通知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宣布失效</w:t>
            </w:r>
          </w:p>
        </w:tc>
      </w:tr>
    </w:tbl>
    <w:p>
      <w:pPr>
        <w:spacing w:line="560" w:lineRule="exact"/>
        <w:jc w:val="both"/>
        <w:rPr>
          <w:rFonts w:hint="eastAsia" w:ascii="仿宋_GB2312"/>
          <w:szCs w:val="32"/>
          <w:lang w:val="en-US" w:eastAsia="zh-CN"/>
        </w:rPr>
      </w:pPr>
    </w:p>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7769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769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X0ESrA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KSWeO1zR7tfP3e+/uz8PBEO9kVKVzRalhphaLLiNWJLHT2F8&#10;Fk8YLAKMGlw5kRrBPGq+PemsxkwEBmeMsdmHOSUCc7Nzxt7PC3zzVB0h5c8qOFKcjgLuscrLNzcp&#10;758en5RmPlwba+surSdDRz/Op/NacMoguPXYo3DYz1q8PK7GA7FVkFvkZb94lLd8laMDR2d1dO4j&#10;mHWPc1VVKiSupxI4fKWy/+f32vjpwy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X0ES&#10;rAEAADg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667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2021年11月15日翻印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7667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f3zZAAAA&#10;DQEAAA8AAAAAAAAAAQAgAAAAIgAAAGRycy9kb3ducmV2LnhtbFBLAQIUABQAAAAIAIdO4kCDsLNI&#10;qgEAADgDAAAOAAAAAAAAAAEAIAAAACgBAABkcnMvZTJvRG9jLnhtbFBLBQYAAAAABgAGAFkBAABE&#10;BQ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2021年11月15日翻印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564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75648;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lSXodcAAAAMAQAADwAA&#10;AAAAAAABACAAAAAiAAAAZHJzL2Rvd25yZXYueG1sUEsBAhQAFAAAAAgAh07iQCp54tPeAQAAogMA&#10;AA4AAAAAAAAAAQAgAAAAJgEAAGRycy9lMm9Eb2MueG1sUEsFBgAAAAAGAAYAWQEAAHYFAAAAAA==&#10;">
                <v:fill on="f" focussize="0,0"/>
                <v:stroke weight="1pt" color="#000000" joinstyle="round"/>
                <v:imagedata o:title=""/>
                <o:lock v:ext="edit" aspectratio="f"/>
                <w10:wrap type="topAndBottom"/>
                <w10:anchorlock/>
              </v:line>
            </w:pict>
          </mc:Fallback>
        </mc:AlternateContent>
      </w: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60" w:lineRule="exact"/>
        <w:jc w:val="both"/>
        <w:rPr>
          <w:rFonts w:hint="eastAsia" w:ascii="仿宋_GB2312"/>
          <w:szCs w:val="32"/>
          <w:lang w:val="en-US" w:eastAsia="zh-CN"/>
        </w:rPr>
      </w:pPr>
    </w:p>
    <w:p>
      <w:pPr>
        <w:spacing w:line="596" w:lineRule="exact"/>
        <w:textAlignment w:val="top"/>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3</w:t>
      </w:r>
    </w:p>
    <w:p>
      <w:pPr>
        <w:spacing w:line="596" w:lineRule="exact"/>
        <w:jc w:val="center"/>
        <w:textAlignment w:val="top"/>
        <w:rPr>
          <w:rFonts w:hint="eastAsia" w:ascii="方正小标宋简体" w:eastAsia="方正小标宋简体"/>
          <w:sz w:val="44"/>
          <w:szCs w:val="44"/>
        </w:rPr>
      </w:pPr>
      <w:r>
        <w:rPr>
          <w:rFonts w:hint="eastAsia" w:ascii="方正小标宋简体" w:eastAsia="方正小标宋简体"/>
          <w:sz w:val="44"/>
          <w:szCs w:val="44"/>
        </w:rPr>
        <w:t>福建省人力资源和社会保障厅</w:t>
      </w:r>
    </w:p>
    <w:p>
      <w:pPr>
        <w:spacing w:line="596" w:lineRule="exact"/>
        <w:jc w:val="center"/>
        <w:textAlignment w:val="top"/>
        <w:rPr>
          <w:rFonts w:hint="eastAsia" w:ascii="黑体" w:hAnsi="黑体" w:eastAsia="黑体" w:cs="黑体"/>
          <w:sz w:val="44"/>
          <w:szCs w:val="44"/>
        </w:rPr>
      </w:pPr>
      <w:r>
        <w:rPr>
          <w:rFonts w:hint="eastAsia" w:ascii="方正小标宋简体" w:eastAsia="方正小标宋简体"/>
          <w:sz w:val="44"/>
          <w:szCs w:val="44"/>
        </w:rPr>
        <w:t>宣布</w:t>
      </w:r>
      <w:r>
        <w:rPr>
          <w:rFonts w:hint="eastAsia" w:ascii="方正小标宋简体" w:eastAsia="方正小标宋简体"/>
          <w:sz w:val="44"/>
          <w:szCs w:val="44"/>
          <w:lang w:val="en-US" w:eastAsia="zh-CN"/>
        </w:rPr>
        <w:t>继续有效</w:t>
      </w:r>
      <w:r>
        <w:rPr>
          <w:rFonts w:hint="eastAsia" w:ascii="方正小标宋简体" w:eastAsia="方正小标宋简体"/>
          <w:sz w:val="44"/>
          <w:szCs w:val="44"/>
        </w:rPr>
        <w:t>的文件目录</w:t>
      </w:r>
    </w:p>
    <w:tbl>
      <w:tblPr>
        <w:tblStyle w:val="4"/>
        <w:tblpPr w:leftFromText="180" w:rightFromText="180" w:vertAnchor="text" w:horzAnchor="page" w:tblpX="1828" w:tblpY="417"/>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9"/>
        <w:gridCol w:w="1652"/>
        <w:gridCol w:w="462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序号</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文件名称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闽劳薪〔1995〕042号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关于转发劳动部《工资支付暂行规定有关问题的补充规定》的通知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闽劳综〔1997〕22号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关于用人单位支付职工工资有关问题的规定</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闽劳社〔2001〕186号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福建省劳动和社会保障厅、福建省总工会关于贯彻执行劳动和社会保障部《工资集体协商试行办法》（第9号令）有关问题的通知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闽劳社文〔2003〕236号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关于进一步加强未成年工特殊劳动保护的通知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闽劳社文〔2003〕342号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关于《国营企业实行劳动合同制度暂行规定》废止后有关终止劳动合同支付生活补助费（经济补偿金）问题的通知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闽劳社文〔2007〕227号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关于建立劳动用工备案制度的通知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闽劳社文〔2008〕110号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关于印发《福建省进一步规范企业劳动合同订立、变更、解除和终止的办法（试行）》的通知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闽劳社文〔2008〕409号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关于印发《福建省企业经济性裁减人员实施办法》的通知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闽人社文〔2010〕12号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color w:val="000000"/>
                <w:kern w:val="0"/>
                <w:sz w:val="24"/>
                <w:lang w:bidi="ar"/>
              </w:rPr>
              <w:t>福建省人力资源和社会保障厅 福建省财政厅</w:t>
            </w:r>
            <w:r>
              <w:rPr>
                <w:rFonts w:hint="eastAsia" w:ascii="仿宋_GB2312" w:hAnsi="仿宋_GB2312" w:eastAsia="仿宋_GB2312" w:cs="仿宋_GB2312"/>
                <w:i w:val="0"/>
                <w:color w:val="000000"/>
                <w:kern w:val="0"/>
                <w:sz w:val="24"/>
                <w:szCs w:val="24"/>
                <w:u w:val="none"/>
                <w:lang w:val="en-US" w:eastAsia="zh-CN" w:bidi="ar"/>
              </w:rPr>
              <w:t>关于建立欠薪应急保障金制度的通知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bl>
    <w:p>
      <w:pPr>
        <w:spacing w:line="560" w:lineRule="exact"/>
        <w:jc w:val="both"/>
        <w:rPr>
          <w:rFonts w:hint="eastAsia" w:ascii="仿宋_GB2312"/>
          <w:szCs w:val="32"/>
          <w:lang w:val="en-US" w:eastAsia="zh-CN"/>
        </w:rPr>
      </w:pPr>
    </w:p>
    <w:tbl>
      <w:tblPr>
        <w:tblStyle w:val="4"/>
        <w:tblpPr w:leftFromText="180" w:rightFromText="180" w:vertAnchor="text" w:horzAnchor="page" w:tblpX="1828" w:tblpY="417"/>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9"/>
        <w:gridCol w:w="1652"/>
        <w:gridCol w:w="462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序号</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文件名称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闽人社文〔2011〕215号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关于印发《福建省集体合同审查办法》的通知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闽人社文〔2012〕115号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关于进一步规范企业实行综合计算工时工作制和不定时工作制有关问题的通知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12</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闽人社文〔2014〕195号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 福建省人民政府国有资产监督管理委员会 福建省财政厅 福建省机关事务管理局关于省级行政机关与所办（属）企业和经营性资产脱钩中职工安置若干问题的意见</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13</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闽人社文〔2015〕86号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关于印发《福建省劳动就业用工信息申报管理试行办法》的通知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14</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闽人社办〔2015〕218号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福建省人力资源和社会保障厅办公室关于进一步明确下放特殊工时制度审批、经营劳务派遣业务审批有关问题的通知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15</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闽人社文〔2016〕198号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关于推动企业建立健全职工薪酬和职业技能等级挂钩分配制度的通知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16</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闽人社文〔2016〕374号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关于印发《福建省用人单位工资支付行为守信激励和失信惩戒暂行规定》的通知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17</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闽人社文〔2018〕268号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 福建省财政厅 福建省审计厅 福建省人民政府国有资产监督管理委员会关于印发《福建省省属国有企业工资内外收入监督检查暂行办法》的通知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18</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闽人社文〔2018〕269号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 福建省财政厅 福建省人民政府国有资产监督管理委员会关于印发《福建省省属国有企业工资分配信息披露式样》的通知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bl>
    <w:p>
      <w:pPr>
        <w:spacing w:line="560" w:lineRule="exact"/>
        <w:jc w:val="both"/>
        <w:rPr>
          <w:rFonts w:hint="eastAsia" w:ascii="仿宋_GB2312"/>
          <w:szCs w:val="32"/>
          <w:lang w:val="en-US" w:eastAsia="zh-CN"/>
        </w:rPr>
      </w:pPr>
      <w:bookmarkStart w:id="0" w:name="_GoBack"/>
      <w:bookmarkEnd w:id="0"/>
    </w:p>
    <w:tbl>
      <w:tblPr>
        <w:tblStyle w:val="4"/>
        <w:tblpPr w:leftFromText="180" w:rightFromText="180" w:vertAnchor="text" w:horzAnchor="page" w:tblpX="1828" w:tblpY="417"/>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9"/>
        <w:gridCol w:w="1652"/>
        <w:gridCol w:w="462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序号</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文件名称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19</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闽人社文〔2018〕270号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福建省人力资源和社会保障厅 福建省财政厅 福建省人民政府国有资产监督管理委员会关于印发《福建省省属国有企业工资总额</w:t>
            </w:r>
            <w:r>
              <w:rPr>
                <w:rFonts w:hint="eastAsia" w:ascii="仿宋_GB2312" w:hAnsi="仿宋_GB2312" w:cs="仿宋_GB2312"/>
                <w:i w:val="0"/>
                <w:color w:val="000000"/>
                <w:kern w:val="0"/>
                <w:sz w:val="24"/>
                <w:szCs w:val="24"/>
                <w:u w:val="none"/>
                <w:lang w:val="en-US" w:eastAsia="zh-CN" w:bidi="ar"/>
              </w:rPr>
              <w:t>预算</w:t>
            </w:r>
            <w:r>
              <w:rPr>
                <w:rFonts w:hint="eastAsia" w:ascii="仿宋_GB2312" w:hAnsi="仿宋_GB2312" w:eastAsia="仿宋_GB2312" w:cs="仿宋_GB2312"/>
                <w:i w:val="0"/>
                <w:color w:val="000000"/>
                <w:kern w:val="0"/>
                <w:sz w:val="24"/>
                <w:szCs w:val="24"/>
                <w:u w:val="none"/>
                <w:lang w:val="en-US" w:eastAsia="zh-CN" w:bidi="ar"/>
              </w:rPr>
              <w:t>执行结果备案暂行办法》的通知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20</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闽人社发〔2019〕3号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福建省人力资源和社会保障厅等六部门关于调整夏季高温津贴标准的通知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21</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闽人社发〔2019〕6号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关于公布我省最低工资标准的通知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22</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闽人社文〔2019〕168号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福建省人力资源和社会保障厅等三方四部门关于开展2019年和谐劳动关系创建活动的通知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6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23</w:t>
            </w:r>
          </w:p>
        </w:tc>
        <w:tc>
          <w:tcPr>
            <w:tcW w:w="1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闽人社文〔2020〕102号</w:t>
            </w:r>
          </w:p>
        </w:tc>
        <w:tc>
          <w:tcPr>
            <w:tcW w:w="46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关于明确用人单位停工停产期间支付劳动者生活费有关问题的通知</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继续有效</w:t>
            </w:r>
          </w:p>
        </w:tc>
      </w:tr>
    </w:tbl>
    <w:p>
      <w:pPr>
        <w:spacing w:line="560" w:lineRule="exact"/>
        <w:jc w:val="both"/>
        <w:rPr>
          <w:rFonts w:hint="eastAsia" w:ascii="仿宋_GB231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34B05"/>
    <w:rsid w:val="37761973"/>
    <w:rsid w:val="6753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2021-12-14T08:56:00Z</dcterms:created>
  <dc:creator>user</dc:creator>
  <cp:lastModifiedBy>user</cp:lastModifiedBy>
  <dcterms:modified xsi:type="dcterms:W3CDTF">2021-12-14T08:58:09Z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