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2959"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4"/>
        <w:gridCol w:w="5"/>
        <w:gridCol w:w="2905"/>
        <w:gridCol w:w="2640"/>
        <w:gridCol w:w="2625"/>
        <w:gridCol w:w="1725"/>
        <w:gridCol w:w="145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2959" w:type="dxa"/>
            <w:gridSpan w:val="8"/>
            <w:tcBorders>
              <w:top w:val="nil"/>
              <w:left w:val="nil"/>
              <w:bottom w:val="single" w:color="auto" w:sz="4" w:space="0"/>
              <w:right w:val="nil"/>
              <w:tl2br w:val="nil"/>
              <w:tr2bl w:val="nil"/>
            </w:tcBorders>
            <w:vAlign w:val="top"/>
          </w:tcPr>
          <w:p>
            <w:pPr>
              <w:spacing w:beforeLines="0" w:afterLines="0"/>
              <w:jc w:val="center"/>
              <w:rPr>
                <w:rFonts w:hint="eastAsia" w:ascii="黑体" w:hAnsi="黑体" w:eastAsia="黑体"/>
                <w:color w:val="000000"/>
                <w:sz w:val="36"/>
              </w:rPr>
            </w:pPr>
            <w:r>
              <w:rPr>
                <w:rFonts w:hint="eastAsia" w:ascii="黑体" w:hAnsi="黑体" w:eastAsia="黑体"/>
                <w:color w:val="000000"/>
                <w:sz w:val="36"/>
              </w:rPr>
              <w:t xml:space="preserve"> </w:t>
            </w:r>
            <w:r>
              <w:rPr>
                <w:rFonts w:hint="eastAsia" w:ascii="黑体" w:hAnsi="黑体" w:eastAsia="黑体"/>
                <w:color w:val="000000"/>
                <w:sz w:val="36"/>
                <w:lang w:val="en-US" w:eastAsia="zh-CN"/>
              </w:rPr>
              <w:t xml:space="preserve">  </w:t>
            </w:r>
            <w:bookmarkStart w:id="0" w:name="_GoBack"/>
            <w:bookmarkEnd w:id="0"/>
            <w:r>
              <w:rPr>
                <w:rFonts w:hint="eastAsia" w:ascii="方正小标宋简体" w:hAnsi="方正小标宋简体" w:eastAsia="方正小标宋简体" w:cs="方正小标宋简体"/>
                <w:color w:val="000000"/>
                <w:sz w:val="44"/>
                <w:szCs w:val="44"/>
              </w:rPr>
              <w:t>福建省人社系统随机抽查事项清单（第二版）</w:t>
            </w:r>
            <w:r>
              <w:rPr>
                <w:rFonts w:hint="eastAsia" w:ascii="黑体" w:hAnsi="黑体" w:eastAsia="黑体"/>
                <w:color w:val="000000"/>
                <w:sz w:val="3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2959" w:type="dxa"/>
            <w:gridSpan w:val="8"/>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方正小标宋简体" w:hAnsi="方正小标宋简体" w:eastAsia="方正小标宋简体"/>
                <w:color w:val="000000"/>
                <w:sz w:val="24"/>
              </w:rPr>
            </w:pPr>
            <w:r>
              <w:rPr>
                <w:rFonts w:hint="eastAsia" w:ascii="方正小标宋简体" w:hAnsi="方正小标宋简体" w:eastAsia="方正小标宋简体"/>
                <w:color w:val="000000"/>
                <w:sz w:val="24"/>
              </w:rPr>
              <w:t>一、市场监管执法事项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trPr>
        <w:tc>
          <w:tcPr>
            <w:tcW w:w="12959" w:type="dxa"/>
            <w:gridSpan w:val="8"/>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方正小标宋简体" w:hAnsi="方正小标宋简体" w:eastAsia="方正小标宋简体"/>
                <w:color w:val="000000"/>
                <w:sz w:val="24"/>
              </w:rPr>
            </w:pPr>
            <w:r>
              <w:rPr>
                <w:rFonts w:hint="eastAsia" w:ascii="方正小标宋简体" w:hAnsi="方正小标宋简体" w:eastAsia="方正小标宋简体"/>
                <w:color w:val="000000"/>
                <w:sz w:val="24"/>
              </w:rPr>
              <w:t>（一）对行政许可批设市场主体的监督检查（共4项）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619" w:type="dxa"/>
            <w:gridSpan w:val="2"/>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序号</w:t>
            </w:r>
          </w:p>
        </w:tc>
        <w:tc>
          <w:tcPr>
            <w:tcW w:w="2905"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项目名称</w:t>
            </w:r>
          </w:p>
        </w:tc>
        <w:tc>
          <w:tcPr>
            <w:tcW w:w="2640"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抽查依据</w:t>
            </w:r>
          </w:p>
        </w:tc>
        <w:tc>
          <w:tcPr>
            <w:tcW w:w="2625"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抽查内容</w:t>
            </w:r>
          </w:p>
        </w:tc>
        <w:tc>
          <w:tcPr>
            <w:tcW w:w="1725"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实施主体</w:t>
            </w:r>
          </w:p>
        </w:tc>
        <w:tc>
          <w:tcPr>
            <w:tcW w:w="1455"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仿宋_GB2312"/>
                <w:b/>
                <w:color w:val="000000"/>
                <w:sz w:val="22"/>
                <w:lang w:eastAsia="zh-CN"/>
              </w:rPr>
            </w:pPr>
            <w:r>
              <w:rPr>
                <w:rFonts w:hint="eastAsia" w:ascii="宋体" w:hAnsi="宋体"/>
                <w:b/>
                <w:color w:val="000000"/>
                <w:sz w:val="22"/>
              </w:rPr>
              <w:t>省厅业务主管处室</w:t>
            </w:r>
            <w:r>
              <w:rPr>
                <w:rFonts w:hint="eastAsia" w:ascii="宋体" w:hAnsi="宋体"/>
                <w:b/>
                <w:color w:val="000000"/>
                <w:sz w:val="22"/>
                <w:lang w:eastAsia="zh-CN"/>
              </w:rPr>
              <w:t>、单位</w:t>
            </w:r>
          </w:p>
        </w:tc>
        <w:tc>
          <w:tcPr>
            <w:tcW w:w="990"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11" w:hRule="atLeast"/>
        </w:trPr>
        <w:tc>
          <w:tcPr>
            <w:tcW w:w="619" w:type="dxa"/>
            <w:gridSpan w:val="2"/>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center"/>
              <w:rPr>
                <w:rFonts w:hint="eastAsia" w:ascii="宋体" w:hAnsi="宋体"/>
                <w:color w:val="000000"/>
                <w:sz w:val="20"/>
              </w:rPr>
            </w:pPr>
            <w:r>
              <w:rPr>
                <w:rFonts w:hint="eastAsia" w:ascii="宋体" w:hAnsi="宋体"/>
                <w:color w:val="000000"/>
                <w:sz w:val="20"/>
              </w:rPr>
              <w:t>1</w:t>
            </w:r>
          </w:p>
        </w:tc>
        <w:tc>
          <w:tcPr>
            <w:tcW w:w="2905" w:type="dxa"/>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对经营性人力资源服务机构的监督检查</w:t>
            </w:r>
          </w:p>
        </w:tc>
        <w:tc>
          <w:tcPr>
            <w:tcW w:w="2640" w:type="dxa"/>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《人力资源市场暂行条例》（中华人民共和国国务院令 第700号 经2018年5月2日国务院第7次常务会议通过）</w:t>
            </w:r>
          </w:p>
        </w:tc>
        <w:tc>
          <w:tcPr>
            <w:tcW w:w="2625" w:type="dxa"/>
            <w:vMerge w:val="restart"/>
            <w:tcBorders>
              <w:top w:val="single" w:color="auto" w:sz="6" w:space="0"/>
              <w:left w:val="single" w:color="auto" w:sz="6" w:space="0"/>
              <w:bottom w:val="nil"/>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1.检查对象遵守有关法律法规情况；</w:t>
            </w:r>
          </w:p>
          <w:p>
            <w:pPr>
              <w:spacing w:beforeLines="0" w:afterLines="0"/>
              <w:jc w:val="both"/>
              <w:rPr>
                <w:rFonts w:hint="eastAsia" w:ascii="宋体" w:hAnsi="宋体"/>
                <w:color w:val="000000"/>
                <w:sz w:val="24"/>
              </w:rPr>
            </w:pPr>
            <w:r>
              <w:rPr>
                <w:rFonts w:hint="eastAsia" w:ascii="宋体" w:hAnsi="宋体"/>
                <w:color w:val="000000"/>
                <w:sz w:val="24"/>
              </w:rPr>
              <w:t>2.检查对象严格按照许可范围及有关规范开展业务情况；</w:t>
            </w:r>
          </w:p>
          <w:p>
            <w:pPr>
              <w:spacing w:beforeLines="0" w:afterLines="0"/>
              <w:jc w:val="both"/>
              <w:rPr>
                <w:rFonts w:hint="eastAsia" w:ascii="宋体" w:hAnsi="宋体"/>
                <w:color w:val="000000"/>
                <w:sz w:val="24"/>
              </w:rPr>
            </w:pPr>
            <w:r>
              <w:rPr>
                <w:rFonts w:hint="eastAsia" w:ascii="宋体" w:hAnsi="宋体"/>
                <w:color w:val="000000"/>
                <w:sz w:val="24"/>
              </w:rPr>
              <w:t>3.检查对象申请批设时提交材料的准确性和真实性；</w:t>
            </w:r>
          </w:p>
          <w:p>
            <w:pPr>
              <w:spacing w:beforeLines="0" w:afterLines="0"/>
              <w:jc w:val="both"/>
              <w:rPr>
                <w:rFonts w:hint="eastAsia" w:ascii="宋体" w:hAnsi="宋体"/>
                <w:color w:val="000000"/>
                <w:sz w:val="24"/>
              </w:rPr>
            </w:pPr>
            <w:r>
              <w:rPr>
                <w:rFonts w:hint="eastAsia" w:ascii="宋体" w:hAnsi="宋体"/>
                <w:color w:val="000000"/>
                <w:sz w:val="24"/>
              </w:rPr>
              <w:t>4.被投诉举报事项情况核查；</w:t>
            </w:r>
          </w:p>
          <w:p>
            <w:pPr>
              <w:spacing w:beforeLines="0" w:afterLines="0"/>
              <w:jc w:val="both"/>
              <w:rPr>
                <w:rFonts w:hint="eastAsia" w:ascii="宋体" w:hAnsi="宋体"/>
                <w:color w:val="000000"/>
                <w:sz w:val="24"/>
              </w:rPr>
            </w:pPr>
            <w:r>
              <w:rPr>
                <w:rFonts w:hint="eastAsia" w:ascii="宋体" w:hAnsi="宋体"/>
                <w:color w:val="000000"/>
                <w:sz w:val="24"/>
              </w:rPr>
              <w:t>5.其他根据法律法规规章规定可以检查的内容。</w:t>
            </w:r>
          </w:p>
        </w:tc>
        <w:tc>
          <w:tcPr>
            <w:tcW w:w="1725" w:type="dxa"/>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省、市、县级人社部门分级负责</w:t>
            </w:r>
          </w:p>
        </w:tc>
        <w:tc>
          <w:tcPr>
            <w:tcW w:w="1455" w:type="dxa"/>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人力资源开发处</w:t>
            </w:r>
          </w:p>
        </w:tc>
        <w:tc>
          <w:tcPr>
            <w:tcW w:w="990" w:type="dxa"/>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5" w:hRule="atLeast"/>
        </w:trPr>
        <w:tc>
          <w:tcPr>
            <w:tcW w:w="6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color w:val="000000"/>
                <w:sz w:val="20"/>
              </w:rPr>
            </w:pPr>
            <w:r>
              <w:rPr>
                <w:rFonts w:hint="eastAsia" w:ascii="宋体" w:hAnsi="宋体"/>
                <w:color w:val="000000"/>
                <w:sz w:val="20"/>
              </w:rPr>
              <w:t>2</w:t>
            </w:r>
          </w:p>
        </w:tc>
        <w:tc>
          <w:tcPr>
            <w:tcW w:w="29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对民办职业资格培训、职业技能培训学校的监督检查</w:t>
            </w:r>
          </w:p>
        </w:tc>
        <w:tc>
          <w:tcPr>
            <w:tcW w:w="26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《民办教育促进法》</w:t>
            </w:r>
          </w:p>
        </w:tc>
        <w:tc>
          <w:tcPr>
            <w:tcW w:w="2625" w:type="dxa"/>
            <w:vMerge w:val="continue"/>
            <w:tcBorders>
              <w:top w:val="nil"/>
              <w:left w:val="single" w:color="auto" w:sz="6" w:space="0"/>
              <w:bottom w:val="nil"/>
              <w:right w:val="single" w:color="auto" w:sz="6" w:space="0"/>
              <w:tl2br w:val="nil"/>
              <w:tr2bl w:val="nil"/>
            </w:tcBorders>
            <w:vAlign w:val="center"/>
          </w:tcPr>
          <w:p>
            <w:pPr>
              <w:spacing w:beforeLines="0" w:afterLines="0"/>
              <w:jc w:val="both"/>
              <w:rPr>
                <w:rFonts w:hint="eastAsia" w:ascii="宋体" w:hAnsi="宋体"/>
                <w:color w:val="000000"/>
                <w:sz w:val="24"/>
              </w:rPr>
            </w:pPr>
          </w:p>
        </w:tc>
        <w:tc>
          <w:tcPr>
            <w:tcW w:w="172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市、县级人社部门分级负责</w:t>
            </w:r>
          </w:p>
        </w:tc>
        <w:tc>
          <w:tcPr>
            <w:tcW w:w="145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职业能力建设处</w:t>
            </w: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0" w:hRule="atLeast"/>
        </w:trPr>
        <w:tc>
          <w:tcPr>
            <w:tcW w:w="619" w:type="dxa"/>
            <w:gridSpan w:val="2"/>
            <w:tcBorders>
              <w:top w:val="single" w:color="auto" w:sz="4" w:space="0"/>
              <w:left w:val="single" w:color="auto" w:sz="6" w:space="0"/>
              <w:bottom w:val="single" w:color="auto" w:sz="4" w:space="0"/>
              <w:right w:val="single" w:color="auto" w:sz="6" w:space="0"/>
              <w:tl2br w:val="nil"/>
              <w:tr2bl w:val="nil"/>
            </w:tcBorders>
            <w:vAlign w:val="center"/>
          </w:tcPr>
          <w:p>
            <w:pPr>
              <w:spacing w:beforeLines="0" w:afterLines="0"/>
              <w:jc w:val="center"/>
              <w:rPr>
                <w:rFonts w:hint="eastAsia" w:ascii="宋体" w:hAnsi="宋体"/>
                <w:color w:val="000000"/>
                <w:sz w:val="20"/>
              </w:rPr>
            </w:pPr>
            <w:r>
              <w:rPr>
                <w:rFonts w:hint="eastAsia" w:ascii="宋体" w:hAnsi="宋体"/>
                <w:color w:val="000000"/>
                <w:sz w:val="20"/>
              </w:rPr>
              <w:t>3</w:t>
            </w:r>
          </w:p>
        </w:tc>
        <w:tc>
          <w:tcPr>
            <w:tcW w:w="2905" w:type="dxa"/>
            <w:tcBorders>
              <w:top w:val="single" w:color="auto" w:sz="4"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对民办技工学校的监督检查</w:t>
            </w:r>
          </w:p>
        </w:tc>
        <w:tc>
          <w:tcPr>
            <w:tcW w:w="2640" w:type="dxa"/>
            <w:tcBorders>
              <w:top w:val="single" w:color="auto" w:sz="4"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《民办教育促进法》、《技工学校教育督导评估暂行规定》</w:t>
            </w:r>
          </w:p>
        </w:tc>
        <w:tc>
          <w:tcPr>
            <w:tcW w:w="2625" w:type="dxa"/>
            <w:vMerge w:val="continue"/>
            <w:tcBorders>
              <w:top w:val="nil"/>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olor w:val="000000"/>
                <w:sz w:val="24"/>
              </w:rPr>
            </w:pPr>
          </w:p>
        </w:tc>
        <w:tc>
          <w:tcPr>
            <w:tcW w:w="1725" w:type="dxa"/>
            <w:tcBorders>
              <w:top w:val="single" w:color="auto" w:sz="4"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省人社厅；福州市、厦门市人社局</w:t>
            </w:r>
          </w:p>
        </w:tc>
        <w:tc>
          <w:tcPr>
            <w:tcW w:w="1455" w:type="dxa"/>
            <w:tcBorders>
              <w:top w:val="single" w:color="auto" w:sz="4"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职业能力建设处</w:t>
            </w:r>
          </w:p>
        </w:tc>
        <w:tc>
          <w:tcPr>
            <w:tcW w:w="990" w:type="dxa"/>
            <w:tcBorders>
              <w:top w:val="single" w:color="auto" w:sz="4"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0" w:hRule="atLeast"/>
        </w:trPr>
        <w:tc>
          <w:tcPr>
            <w:tcW w:w="6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color w:val="000000"/>
                <w:sz w:val="20"/>
              </w:rPr>
            </w:pPr>
            <w:r>
              <w:rPr>
                <w:rFonts w:hint="eastAsia" w:ascii="宋体" w:hAnsi="宋体"/>
                <w:color w:val="000000"/>
                <w:sz w:val="20"/>
              </w:rPr>
              <w:t>4</w:t>
            </w:r>
          </w:p>
        </w:tc>
        <w:tc>
          <w:tcPr>
            <w:tcW w:w="29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对劳务派遣企业的监督检查</w:t>
            </w:r>
          </w:p>
        </w:tc>
        <w:tc>
          <w:tcPr>
            <w:tcW w:w="26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《劳动合同法》</w:t>
            </w:r>
          </w:p>
        </w:tc>
        <w:tc>
          <w:tcPr>
            <w:tcW w:w="26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olor w:val="000000"/>
                <w:sz w:val="24"/>
              </w:rPr>
            </w:pPr>
          </w:p>
        </w:tc>
        <w:tc>
          <w:tcPr>
            <w:tcW w:w="172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市、县级人社部门分级负责</w:t>
            </w:r>
          </w:p>
        </w:tc>
        <w:tc>
          <w:tcPr>
            <w:tcW w:w="145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劳动关系处</w:t>
            </w: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2959" w:type="dxa"/>
            <w:gridSpan w:val="8"/>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方正小标宋简体" w:hAnsi="方正小标宋简体" w:eastAsia="方正小标宋简体"/>
                <w:color w:val="000000"/>
                <w:sz w:val="24"/>
              </w:rPr>
            </w:pPr>
            <w:r>
              <w:rPr>
                <w:rFonts w:hint="eastAsia" w:ascii="方正小标宋简体" w:hAnsi="方正小标宋简体" w:eastAsia="方正小标宋简体"/>
                <w:color w:val="000000"/>
                <w:sz w:val="24"/>
              </w:rPr>
              <w:t>（二）对用人单位的劳动保障监察（共8项）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614"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序号</w:t>
            </w:r>
          </w:p>
        </w:tc>
        <w:tc>
          <w:tcPr>
            <w:tcW w:w="2910" w:type="dxa"/>
            <w:gridSpan w:val="2"/>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项目名称</w:t>
            </w:r>
          </w:p>
        </w:tc>
        <w:tc>
          <w:tcPr>
            <w:tcW w:w="2640"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抽查依据</w:t>
            </w:r>
          </w:p>
        </w:tc>
        <w:tc>
          <w:tcPr>
            <w:tcW w:w="2625"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抽查内容</w:t>
            </w:r>
          </w:p>
        </w:tc>
        <w:tc>
          <w:tcPr>
            <w:tcW w:w="1725"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实施主体</w:t>
            </w:r>
          </w:p>
        </w:tc>
        <w:tc>
          <w:tcPr>
            <w:tcW w:w="1455"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仿宋_GB2312"/>
                <w:b/>
                <w:color w:val="000000"/>
                <w:sz w:val="22"/>
                <w:lang w:eastAsia="zh-CN"/>
              </w:rPr>
            </w:pPr>
            <w:r>
              <w:rPr>
                <w:rFonts w:hint="eastAsia" w:ascii="宋体" w:hAnsi="宋体"/>
                <w:b/>
                <w:color w:val="000000"/>
                <w:sz w:val="22"/>
              </w:rPr>
              <w:t>省厅业务主管处室</w:t>
            </w:r>
            <w:r>
              <w:rPr>
                <w:rFonts w:hint="eastAsia" w:ascii="宋体" w:hAnsi="宋体"/>
                <w:b/>
                <w:color w:val="000000"/>
                <w:sz w:val="22"/>
                <w:lang w:eastAsia="zh-CN"/>
              </w:rPr>
              <w:t>、单位</w:t>
            </w:r>
          </w:p>
        </w:tc>
        <w:tc>
          <w:tcPr>
            <w:tcW w:w="990"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61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0"/>
              </w:rPr>
            </w:pPr>
            <w:r>
              <w:rPr>
                <w:rFonts w:hint="eastAsia" w:ascii="宋体" w:hAnsi="宋体"/>
                <w:color w:val="000000"/>
                <w:sz w:val="20"/>
              </w:rPr>
              <w:t>1</w:t>
            </w:r>
          </w:p>
        </w:tc>
        <w:tc>
          <w:tcPr>
            <w:tcW w:w="291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对用人单位制定内部劳动保障规章制度情况的监察</w:t>
            </w:r>
          </w:p>
        </w:tc>
        <w:tc>
          <w:tcPr>
            <w:tcW w:w="2640"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《劳动保障监察条例》</w:t>
            </w:r>
          </w:p>
        </w:tc>
        <w:tc>
          <w:tcPr>
            <w:tcW w:w="2625"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ind w:firstLine="0" w:firstLineChars="0"/>
              <w:jc w:val="both"/>
              <w:rPr>
                <w:rFonts w:hint="eastAsia" w:ascii="宋体" w:hAnsi="宋体"/>
                <w:color w:val="000000"/>
                <w:sz w:val="24"/>
              </w:rPr>
            </w:pPr>
            <w:r>
              <w:rPr>
                <w:rFonts w:hint="eastAsia" w:ascii="宋体" w:hAnsi="宋体"/>
                <w:color w:val="000000"/>
                <w:sz w:val="24"/>
              </w:rPr>
              <w:t>用人单位遵守相关规章制度情况。</w:t>
            </w:r>
          </w:p>
          <w:p>
            <w:pPr>
              <w:spacing w:beforeLines="0" w:afterLines="0"/>
              <w:jc w:val="both"/>
              <w:rPr>
                <w:rFonts w:hint="eastAsia" w:ascii="宋体" w:hAnsi="宋体"/>
                <w:color w:val="000000"/>
                <w:sz w:val="24"/>
              </w:rPr>
            </w:pPr>
          </w:p>
        </w:tc>
        <w:tc>
          <w:tcPr>
            <w:tcW w:w="1725"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1.根据属地管理原则，由各级劳动保障监察机构负责；</w:t>
            </w:r>
          </w:p>
          <w:p>
            <w:pPr>
              <w:spacing w:beforeLines="0" w:afterLines="0"/>
              <w:jc w:val="both"/>
              <w:rPr>
                <w:rFonts w:hint="eastAsia" w:ascii="宋体" w:hAnsi="宋体"/>
                <w:color w:val="000000"/>
                <w:sz w:val="24"/>
              </w:rPr>
            </w:pPr>
            <w:r>
              <w:rPr>
                <w:rFonts w:hint="eastAsia" w:ascii="宋体" w:hAnsi="宋体"/>
                <w:color w:val="000000"/>
                <w:sz w:val="24"/>
              </w:rPr>
              <w:t>2.省级劳动保障监察机构会同有管辖权的劳动保障监察机构对涉及跨地区生产经营的央企省企开展双随机抽查活动。</w:t>
            </w:r>
          </w:p>
        </w:tc>
        <w:tc>
          <w:tcPr>
            <w:tcW w:w="1455"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厅劳动监察处、省劳动保障监察总队</w:t>
            </w:r>
          </w:p>
        </w:tc>
        <w:tc>
          <w:tcPr>
            <w:tcW w:w="99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61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0"/>
              </w:rPr>
            </w:pPr>
            <w:r>
              <w:rPr>
                <w:rFonts w:hint="eastAsia" w:ascii="宋体" w:hAnsi="宋体"/>
                <w:color w:val="000000"/>
                <w:sz w:val="20"/>
              </w:rPr>
              <w:t>2</w:t>
            </w:r>
          </w:p>
        </w:tc>
        <w:tc>
          <w:tcPr>
            <w:tcW w:w="291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对用人单位劳动合同及招用工的监察</w:t>
            </w:r>
          </w:p>
        </w:tc>
        <w:tc>
          <w:tcPr>
            <w:tcW w:w="2640"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262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172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4"/>
              </w:rPr>
            </w:pPr>
          </w:p>
        </w:tc>
        <w:tc>
          <w:tcPr>
            <w:tcW w:w="145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99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61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0"/>
              </w:rPr>
            </w:pPr>
            <w:r>
              <w:rPr>
                <w:rFonts w:hint="eastAsia" w:ascii="宋体" w:hAnsi="宋体"/>
                <w:color w:val="000000"/>
                <w:sz w:val="20"/>
              </w:rPr>
              <w:t>3</w:t>
            </w:r>
          </w:p>
        </w:tc>
        <w:tc>
          <w:tcPr>
            <w:tcW w:w="291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对用人单位遵守禁止使用童工规定情况的监察</w:t>
            </w:r>
          </w:p>
        </w:tc>
        <w:tc>
          <w:tcPr>
            <w:tcW w:w="2640"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262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172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4"/>
              </w:rPr>
            </w:pPr>
          </w:p>
        </w:tc>
        <w:tc>
          <w:tcPr>
            <w:tcW w:w="145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99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61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0"/>
              </w:rPr>
            </w:pPr>
            <w:r>
              <w:rPr>
                <w:rFonts w:hint="eastAsia" w:ascii="宋体" w:hAnsi="宋体"/>
                <w:color w:val="000000"/>
                <w:sz w:val="20"/>
              </w:rPr>
              <w:t>4</w:t>
            </w:r>
          </w:p>
        </w:tc>
        <w:tc>
          <w:tcPr>
            <w:tcW w:w="291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对用人单位遵守女职工和未成年工特殊劳动保护规定情况的监察</w:t>
            </w:r>
          </w:p>
        </w:tc>
        <w:tc>
          <w:tcPr>
            <w:tcW w:w="2640"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262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172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4"/>
              </w:rPr>
            </w:pPr>
          </w:p>
        </w:tc>
        <w:tc>
          <w:tcPr>
            <w:tcW w:w="145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99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61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0"/>
              </w:rPr>
            </w:pPr>
            <w:r>
              <w:rPr>
                <w:rFonts w:hint="eastAsia" w:ascii="宋体" w:hAnsi="宋体"/>
                <w:color w:val="000000"/>
                <w:sz w:val="20"/>
              </w:rPr>
              <w:t>5</w:t>
            </w:r>
          </w:p>
        </w:tc>
        <w:tc>
          <w:tcPr>
            <w:tcW w:w="291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对用人单位遵守工作时间和休息休假规定情况的监察</w:t>
            </w:r>
          </w:p>
        </w:tc>
        <w:tc>
          <w:tcPr>
            <w:tcW w:w="2640"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262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172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4"/>
              </w:rPr>
            </w:pPr>
          </w:p>
        </w:tc>
        <w:tc>
          <w:tcPr>
            <w:tcW w:w="145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99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61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6</w:t>
            </w:r>
          </w:p>
        </w:tc>
        <w:tc>
          <w:tcPr>
            <w:tcW w:w="291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对用人单位支付劳动者工资和执行最低工资标准情况的监察</w:t>
            </w:r>
          </w:p>
        </w:tc>
        <w:tc>
          <w:tcPr>
            <w:tcW w:w="2640"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262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172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4"/>
              </w:rPr>
            </w:pPr>
          </w:p>
        </w:tc>
        <w:tc>
          <w:tcPr>
            <w:tcW w:w="145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99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61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7</w:t>
            </w:r>
          </w:p>
        </w:tc>
        <w:tc>
          <w:tcPr>
            <w:tcW w:w="291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对用人单位参加各项社会保险和缴纳社会保险费情况的监察</w:t>
            </w:r>
          </w:p>
        </w:tc>
        <w:tc>
          <w:tcPr>
            <w:tcW w:w="2640"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262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172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4"/>
              </w:rPr>
            </w:pPr>
          </w:p>
        </w:tc>
        <w:tc>
          <w:tcPr>
            <w:tcW w:w="1455" w:type="dxa"/>
            <w:vMerge w:val="continue"/>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99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614" w:type="dxa"/>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8</w:t>
            </w:r>
          </w:p>
        </w:tc>
        <w:tc>
          <w:tcPr>
            <w:tcW w:w="2910" w:type="dxa"/>
            <w:gridSpan w:val="2"/>
            <w:tcBorders>
              <w:top w:val="single" w:color="auto" w:sz="6" w:space="0"/>
              <w:left w:val="single" w:color="auto" w:sz="6" w:space="0"/>
              <w:bottom w:val="single" w:color="auto" w:sz="4"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对用人单位高温劳动保护的监察</w:t>
            </w:r>
          </w:p>
        </w:tc>
        <w:tc>
          <w:tcPr>
            <w:tcW w:w="2640" w:type="dxa"/>
            <w:tcBorders>
              <w:top w:val="single" w:color="auto" w:sz="6" w:space="0"/>
              <w:left w:val="single" w:color="auto" w:sz="6" w:space="0"/>
              <w:bottom w:val="single" w:color="auto" w:sz="4" w:space="0"/>
              <w:right w:val="single" w:color="auto" w:sz="6" w:space="0"/>
              <w:tl2br w:val="nil"/>
              <w:tr2bl w:val="nil"/>
            </w:tcBorders>
            <w:vAlign w:val="top"/>
          </w:tcPr>
          <w:p>
            <w:pPr>
              <w:spacing w:beforeLines="0" w:afterLines="0"/>
              <w:jc w:val="left"/>
              <w:rPr>
                <w:rFonts w:hint="eastAsia" w:ascii="宋体" w:hAnsi="宋体"/>
                <w:color w:val="000000"/>
                <w:sz w:val="24"/>
              </w:rPr>
            </w:pPr>
            <w:r>
              <w:rPr>
                <w:rFonts w:hint="eastAsia" w:ascii="宋体" w:hAnsi="宋体"/>
                <w:color w:val="000000"/>
                <w:sz w:val="24"/>
              </w:rPr>
              <w:t>《劳动保障监察条例》、</w:t>
            </w:r>
          </w:p>
          <w:p>
            <w:pPr>
              <w:spacing w:beforeLines="0" w:afterLines="0"/>
              <w:jc w:val="left"/>
              <w:rPr>
                <w:rFonts w:hint="eastAsia" w:ascii="宋体" w:hAnsi="宋体"/>
                <w:color w:val="000000"/>
                <w:sz w:val="24"/>
              </w:rPr>
            </w:pPr>
            <w:r>
              <w:rPr>
                <w:rFonts w:hint="eastAsia" w:ascii="宋体" w:hAnsi="宋体"/>
                <w:color w:val="000000"/>
                <w:sz w:val="24"/>
              </w:rPr>
              <w:t>《防暑降温措施管理办法》</w:t>
            </w:r>
          </w:p>
        </w:tc>
        <w:tc>
          <w:tcPr>
            <w:tcW w:w="2625" w:type="dxa"/>
            <w:vMerge w:val="continue"/>
            <w:tcBorders>
              <w:top w:val="single" w:color="auto" w:sz="6"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1725" w:type="dxa"/>
            <w:vMerge w:val="continue"/>
            <w:tcBorders>
              <w:top w:val="single" w:color="auto" w:sz="6" w:space="0"/>
              <w:left w:val="single" w:color="auto" w:sz="6" w:space="0"/>
              <w:bottom w:val="single" w:color="auto" w:sz="4" w:space="0"/>
              <w:right w:val="single" w:color="auto" w:sz="6" w:space="0"/>
              <w:tl2br w:val="nil"/>
              <w:tr2bl w:val="nil"/>
            </w:tcBorders>
            <w:vAlign w:val="top"/>
          </w:tcPr>
          <w:p>
            <w:pPr>
              <w:spacing w:beforeLines="0" w:afterLines="0"/>
              <w:jc w:val="left"/>
              <w:rPr>
                <w:rFonts w:hint="eastAsia" w:ascii="宋体" w:hAnsi="宋体"/>
                <w:color w:val="000000"/>
                <w:sz w:val="24"/>
              </w:rPr>
            </w:pPr>
          </w:p>
        </w:tc>
        <w:tc>
          <w:tcPr>
            <w:tcW w:w="1455" w:type="dxa"/>
            <w:vMerge w:val="continue"/>
            <w:tcBorders>
              <w:top w:val="single" w:color="auto" w:sz="6"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olor w:val="000000"/>
                <w:sz w:val="24"/>
              </w:rPr>
            </w:pPr>
          </w:p>
        </w:tc>
        <w:tc>
          <w:tcPr>
            <w:tcW w:w="990" w:type="dxa"/>
            <w:tcBorders>
              <w:top w:val="single" w:color="auto" w:sz="6" w:space="0"/>
              <w:left w:val="single" w:color="auto" w:sz="6" w:space="0"/>
              <w:bottom w:val="single" w:color="auto" w:sz="4" w:space="0"/>
              <w:right w:val="single" w:color="auto" w:sz="6" w:space="0"/>
              <w:tl2br w:val="nil"/>
              <w:tr2bl w:val="nil"/>
            </w:tcBorders>
            <w:vAlign w:val="top"/>
          </w:tcPr>
          <w:p>
            <w:pPr>
              <w:spacing w:beforeLines="0" w:afterLines="0"/>
              <w:jc w:val="center"/>
              <w:rPr>
                <w:rFonts w:hint="eastAsia" w:ascii="宋体" w:hAnsi="宋体"/>
                <w:color w:val="000000"/>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12959" w:type="dxa"/>
            <w:gridSpan w:val="8"/>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方正小标宋简体" w:hAnsi="方正小标宋简体" w:eastAsia="方正小标宋简体"/>
                <w:color w:val="000000"/>
                <w:sz w:val="24"/>
              </w:rPr>
            </w:pPr>
            <w:r>
              <w:rPr>
                <w:rFonts w:hint="eastAsia" w:ascii="方正小标宋简体" w:hAnsi="方正小标宋简体" w:eastAsia="方正小标宋简体"/>
                <w:color w:val="000000"/>
                <w:sz w:val="24"/>
              </w:rPr>
              <w:t>二、其他行政执法事项（共2项）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614"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序号</w:t>
            </w:r>
          </w:p>
        </w:tc>
        <w:tc>
          <w:tcPr>
            <w:tcW w:w="2910" w:type="dxa"/>
            <w:gridSpan w:val="2"/>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项目名称</w:t>
            </w:r>
          </w:p>
        </w:tc>
        <w:tc>
          <w:tcPr>
            <w:tcW w:w="2640"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抽查依据</w:t>
            </w:r>
          </w:p>
        </w:tc>
        <w:tc>
          <w:tcPr>
            <w:tcW w:w="2625"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抽查内容</w:t>
            </w:r>
          </w:p>
        </w:tc>
        <w:tc>
          <w:tcPr>
            <w:tcW w:w="1725"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实施主体</w:t>
            </w:r>
          </w:p>
        </w:tc>
        <w:tc>
          <w:tcPr>
            <w:tcW w:w="1455"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仿宋_GB2312"/>
                <w:b/>
                <w:color w:val="000000"/>
                <w:sz w:val="22"/>
                <w:lang w:eastAsia="zh-CN"/>
              </w:rPr>
            </w:pPr>
            <w:r>
              <w:rPr>
                <w:rFonts w:hint="eastAsia" w:ascii="宋体" w:hAnsi="宋体"/>
                <w:b/>
                <w:color w:val="000000"/>
                <w:sz w:val="22"/>
              </w:rPr>
              <w:t>省厅</w:t>
            </w:r>
            <w:r>
              <w:rPr>
                <w:rFonts w:hint="eastAsia" w:ascii="宋体" w:hAnsi="宋体"/>
                <w:b/>
                <w:color w:val="000000"/>
                <w:sz w:val="22"/>
                <w:lang w:eastAsia="zh-CN"/>
              </w:rPr>
              <w:t>业务</w:t>
            </w:r>
            <w:r>
              <w:rPr>
                <w:rFonts w:hint="eastAsia" w:ascii="宋体" w:hAnsi="宋体"/>
                <w:b/>
                <w:color w:val="000000"/>
                <w:sz w:val="22"/>
              </w:rPr>
              <w:t>主管处室</w:t>
            </w:r>
            <w:r>
              <w:rPr>
                <w:rFonts w:hint="eastAsia" w:ascii="宋体" w:hAnsi="宋体"/>
                <w:b/>
                <w:color w:val="000000"/>
                <w:sz w:val="22"/>
                <w:lang w:eastAsia="zh-CN"/>
              </w:rPr>
              <w:t>、单位</w:t>
            </w:r>
          </w:p>
        </w:tc>
        <w:tc>
          <w:tcPr>
            <w:tcW w:w="990" w:type="dxa"/>
            <w:tcBorders>
              <w:top w:val="single" w:color="auto" w:sz="4"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b/>
                <w:color w:val="000000"/>
                <w:sz w:val="22"/>
              </w:rPr>
            </w:pPr>
            <w:r>
              <w:rPr>
                <w:rFonts w:hint="eastAsia" w:ascii="宋体" w:hAnsi="宋体"/>
                <w:b/>
                <w:color w:val="000000"/>
                <w:sz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61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1</w:t>
            </w:r>
          </w:p>
        </w:tc>
        <w:tc>
          <w:tcPr>
            <w:tcW w:w="291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对专业技术人员继续教育工作的监督检查</w:t>
            </w:r>
          </w:p>
        </w:tc>
        <w:tc>
          <w:tcPr>
            <w:tcW w:w="264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 xml:space="preserve"> 《专业技术人员继续教育规定》（人社部令第25号）</w:t>
            </w:r>
          </w:p>
          <w:p>
            <w:pPr>
              <w:spacing w:beforeLines="0" w:afterLines="0"/>
              <w:jc w:val="both"/>
              <w:rPr>
                <w:rFonts w:hint="eastAsia" w:ascii="宋体" w:hAnsi="宋体"/>
                <w:color w:val="000000"/>
                <w:sz w:val="24"/>
              </w:rPr>
            </w:pPr>
            <w:r>
              <w:rPr>
                <w:rFonts w:hint="eastAsia" w:ascii="宋体" w:hAnsi="宋体"/>
                <w:color w:val="000000"/>
                <w:sz w:val="24"/>
              </w:rPr>
              <w:t xml:space="preserve">    </w:t>
            </w:r>
          </w:p>
        </w:tc>
        <w:tc>
          <w:tcPr>
            <w:tcW w:w="26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用人单位、继续教育机构执行《专业技术人员继续教育规定》的情况。</w:t>
            </w:r>
          </w:p>
        </w:tc>
        <w:tc>
          <w:tcPr>
            <w:tcW w:w="17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省、市、县级人社部门分级负责</w:t>
            </w:r>
          </w:p>
        </w:tc>
        <w:tc>
          <w:tcPr>
            <w:tcW w:w="14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职业能力建设处</w:t>
            </w:r>
          </w:p>
        </w:tc>
        <w:tc>
          <w:tcPr>
            <w:tcW w:w="9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61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2</w:t>
            </w:r>
          </w:p>
        </w:tc>
        <w:tc>
          <w:tcPr>
            <w:tcW w:w="291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社会保险待遇领取情况稽核</w:t>
            </w:r>
          </w:p>
        </w:tc>
        <w:tc>
          <w:tcPr>
            <w:tcW w:w="264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《社会保险法》《社会保险稽核办法》</w:t>
            </w:r>
          </w:p>
        </w:tc>
        <w:tc>
          <w:tcPr>
            <w:tcW w:w="26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社会保险待遇领取情况。</w:t>
            </w:r>
          </w:p>
        </w:tc>
        <w:tc>
          <w:tcPr>
            <w:tcW w:w="17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省、市、县级人社部门分级负责</w:t>
            </w:r>
          </w:p>
        </w:tc>
        <w:tc>
          <w:tcPr>
            <w:tcW w:w="145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r>
              <w:rPr>
                <w:rFonts w:hint="eastAsia" w:ascii="宋体" w:hAnsi="宋体"/>
                <w:color w:val="000000"/>
                <w:sz w:val="24"/>
              </w:rPr>
              <w:t>省社保中心、省机关保中心、省城乡居民保中心</w:t>
            </w:r>
          </w:p>
        </w:tc>
        <w:tc>
          <w:tcPr>
            <w:tcW w:w="99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000000"/>
                <w:sz w:val="24"/>
              </w:rPr>
            </w:pPr>
          </w:p>
        </w:tc>
      </w:tr>
    </w:tbl>
    <w:p/>
    <w:sectPr>
      <w:pgSz w:w="16838" w:h="11906" w:orient="landscape"/>
      <w:pgMar w:top="1803" w:right="1440" w:bottom="1803" w:left="1440"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57853"/>
    <w:rsid w:val="24957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2020-03-18T01:57:00Z</dcterms:created>
  <dc:creator>user</dc:creator>
  <cp:lastModifiedBy>user</cp:lastModifiedBy>
  <dcterms:modified xsi:type="dcterms:W3CDTF">2020-03-18T01:58:53Z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