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F8084">
      <w:pPr>
        <w:spacing w:line="560" w:lineRule="exact"/>
        <w:jc w:val="center"/>
        <w:textAlignment w:val="top"/>
        <w:rPr>
          <w:rFonts w:hint="eastAsia" w:ascii="方正小标宋_GBK" w:hAnsi="方正小标宋_GBK" w:eastAsia="方正小标宋_GBK" w:cs="方正小标宋_GBK"/>
          <w:b w:val="0"/>
          <w:bCs w:val="0"/>
          <w:sz w:val="44"/>
          <w:szCs w:val="44"/>
        </w:rPr>
      </w:pPr>
      <w:bookmarkStart w:id="0" w:name="_GoBack"/>
      <w:r>
        <w:rPr>
          <w:rFonts w:hint="eastAsia" w:ascii="仿宋_GB2312"/>
        </w:rPr>
        <mc:AlternateContent>
          <mc:Choice Requires="wps">
            <w:drawing>
              <wp:anchor distT="0" distB="0" distL="114300" distR="114300" simplePos="0" relativeHeight="251661312"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4" name="文本框 4"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w="9525">
                          <a:noFill/>
                        </a:ln>
                        <a:effectLst/>
                      </wps:spPr>
                      <wps:txbx>
                        <w:txbxContent>
                          <w:p w14:paraId="540689A8">
                            <w:pPr>
                              <w:pStyle w:val="2"/>
                              <w:rPr>
                                <w:rFonts w:hint="eastAsia" w:ascii="方正仿宋简体" w:eastAsia="方正仿宋简体"/>
                                <w:sz w:val="31"/>
                                <w:szCs w:val="31"/>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1312;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&#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kp/n/XAAAADAEAAA8AAAAAAAAAAQAgAAAAIgAAAGRy&#10;cy9kb3ducmV2LnhtbFBLAQIUABQAAAAIAIdO4kCXEyaVzQEAAJQDAAAOAAAAAAAAAAEAIAAAACYB&#10;AABkcnMvZTJvRG9jLnhtbFBLBQYAAAAABgAGAFkBAABlBQAAAAA=&#10;">
                <v:fill on="f" focussize="0,0"/>
                <v:stroke on="f"/>
                <v:imagedata o:title=""/>
                <o:lock v:ext="edit" aspectratio="f"/>
                <v:textbox inset="0mm,0mm,0mm,0mm">
                  <w:txbxContent>
                    <w:p w14:paraId="540689A8">
                      <w:pPr>
                        <w:pStyle w:val="2"/>
                        <w:rPr>
                          <w:rFonts w:hint="eastAsia" w:ascii="方正仿宋简体" w:eastAsia="方正仿宋简体"/>
                          <w:sz w:val="31"/>
                          <w:szCs w:val="31"/>
                        </w:rPr>
                      </w:pP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60288"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6" name="文本框 6"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w="9525">
                          <a:noFill/>
                        </a:ln>
                        <a:effectLst/>
                      </wps:spPr>
                      <wps:txbx>
                        <w:txbxContent>
                          <w:p w14:paraId="1BF5A92A">
                            <w:pPr>
                              <w:wordWrap w:val="0"/>
                              <w:jc w:val="right"/>
                              <w:rPr>
                                <w:rFonts w:hint="eastAsia" w:ascii="方正仿宋简体" w:eastAsia="方正仿宋简体"/>
                                <w:sz w:val="31"/>
                                <w:szCs w:val="31"/>
                              </w:rPr>
                            </w:pPr>
                            <w:r>
                              <w:rPr>
                                <w:rFonts w:hint="eastAsia" w:ascii="方正仿宋简体" w:eastAsia="方正仿宋简体"/>
                                <w:sz w:val="31"/>
                                <w:szCs w:val="31"/>
                              </w:rPr>
                              <w:t xml:space="preserve">2020年1月13日翻印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0288;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&#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jf3zZAAAADQEAAA8AAAAAAAAAAQAgAAAAIgAAAGRy&#10;cy9kb3ducmV2LnhtbFBLAQIUABQAAAAIAIdO4kDSmedWywEAAJQDAAAOAAAAAAAAAAEAIAAAACgB&#10;AABkcnMvZTJvRG9jLnhtbFBLBQYAAAAABgAGAFkBAABlBQAAAAA=&#10;">
                <v:fill on="f" focussize="0,0"/>
                <v:stroke on="f"/>
                <v:imagedata o:title=""/>
                <o:lock v:ext="edit" aspectratio="f"/>
                <v:textbox inset="0mm,0mm,0mm,0mm">
                  <w:txbxContent>
                    <w:p w14:paraId="1BF5A92A">
                      <w:pPr>
                        <w:wordWrap w:val="0"/>
                        <w:jc w:val="right"/>
                        <w:rPr>
                          <w:rFonts w:hint="eastAsia" w:ascii="方正仿宋简体" w:eastAsia="方正仿宋简体"/>
                          <w:sz w:val="31"/>
                          <w:szCs w:val="31"/>
                        </w:rPr>
                      </w:pPr>
                      <w:r>
                        <w:rPr>
                          <w:rFonts w:hint="eastAsia" w:ascii="方正仿宋简体" w:eastAsia="方正仿宋简体"/>
                          <w:sz w:val="31"/>
                          <w:szCs w:val="31"/>
                        </w:rPr>
                        <w:t xml:space="preserve">2020年1月13日翻印  </w:t>
                      </w: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59264"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7" name="直接连接符 7" hidden="1"/>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59264;mso-width-relative:page;mso-height-relative:page;" filled="f" stroked="t"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lSXodcAAAAMAQAADwAAAAAAAAABACAAAAAiAAAAZHJzL2Rvd25y&#10;ZXYueG1sUEsBAhQAFAAAAAgAh07iQA0RZtP/AQAA/gMAAA4AAAAAAAAAAQAgAAAAJgEAAGRycy9l&#10;Mm9Eb2MueG1sUEsFBgAAAAAGAAYAWQEAAJcFAAAAAA==&#10;">
                <v:fill on="f" focussize="0,0"/>
                <v:stroke weight="1pt" color="#000000" joinstyle="round"/>
                <v:imagedata o:title=""/>
                <o:lock v:ext="edit" aspectratio="f"/>
                <w10:wrap type="topAndBottom"/>
                <w10:anchorlock/>
              </v:line>
            </w:pict>
          </mc:Fallback>
        </mc:AlternateContent>
      </w:r>
      <w:r>
        <w:rPr>
          <w:rFonts w:hint="eastAsia" w:ascii="方正小标宋_GBK" w:hAnsi="方正小标宋_GBK" w:eastAsia="方正小标宋_GBK" w:cs="方正小标宋_GBK"/>
          <w:b w:val="0"/>
          <w:bCs w:val="0"/>
          <w:kern w:val="0"/>
          <w:sz w:val="44"/>
          <w:szCs w:val="44"/>
        </w:rPr>
        <w:t>2019年政府信息公开工作年度报告</w:t>
      </w:r>
      <w:bookmarkEnd w:id="0"/>
    </w:p>
    <w:p w14:paraId="4D85BC87">
      <w:pPr>
        <w:tabs>
          <w:tab w:val="left" w:pos="159"/>
          <w:tab w:val="left" w:pos="477"/>
        </w:tabs>
        <w:spacing w:line="560" w:lineRule="exact"/>
        <w:textAlignment w:val="top"/>
        <w:rPr>
          <w:rFonts w:hint="eastAsia" w:ascii="黑体" w:hAnsi="黑体" w:eastAsia="黑体" w:cs="黑体"/>
          <w:szCs w:val="32"/>
        </w:rPr>
      </w:pPr>
      <w:r>
        <w:rPr>
          <w:rFonts w:hint="eastAsia" w:ascii="黑体" w:hAnsi="黑体" w:eastAsia="黑体" w:cs="黑体"/>
          <w:szCs w:val="32"/>
        </w:rPr>
        <w:t xml:space="preserve">    </w:t>
      </w:r>
    </w:p>
    <w:p w14:paraId="48247442">
      <w:pPr>
        <w:tabs>
          <w:tab w:val="left" w:pos="159"/>
          <w:tab w:val="left" w:pos="477"/>
        </w:tabs>
        <w:spacing w:line="560" w:lineRule="exact"/>
        <w:ind w:firstLine="636" w:firstLineChars="200"/>
        <w:textAlignment w:val="top"/>
        <w:rPr>
          <w:rFonts w:hint="eastAsia" w:ascii="黑体" w:hAnsi="黑体" w:eastAsia="黑体" w:cs="黑体"/>
          <w:szCs w:val="32"/>
        </w:rPr>
      </w:pPr>
      <w:r>
        <w:rPr>
          <w:rFonts w:hint="eastAsia" w:ascii="黑体" w:hAnsi="黑体" w:eastAsia="黑体" w:cs="黑体"/>
          <w:kern w:val="0"/>
          <w:szCs w:val="32"/>
        </w:rPr>
        <w:t>一、总体情况</w:t>
      </w:r>
    </w:p>
    <w:p w14:paraId="3BF711F6">
      <w:pPr>
        <w:tabs>
          <w:tab w:val="left" w:pos="159"/>
          <w:tab w:val="left" w:pos="477"/>
        </w:tabs>
        <w:spacing w:line="560" w:lineRule="exact"/>
        <w:ind w:firstLine="636" w:firstLineChars="200"/>
        <w:textAlignment w:val="top"/>
        <w:rPr>
          <w:rFonts w:hint="eastAsia" w:ascii="仿宋_GB2312"/>
          <w:szCs w:val="32"/>
        </w:rPr>
      </w:pPr>
      <w:r>
        <w:rPr>
          <w:rFonts w:hint="eastAsia" w:ascii="仿宋_GB2312"/>
          <w:szCs w:val="32"/>
        </w:rPr>
        <w:t>2019年以来，我厅认真对照《国务院办公厅关于印发2019年政务公开工作要点的通知》（国办发〔2019〕14号）和《福建省人民政府办公厅关于印发福建省2019年政务公开工作主要任务的通知》要求，着力健全政务公开机制，着力提升政务公开质量，着力加强政策解读回应，大力推进我省人社领域政务公开工作，取得了良好成效。</w:t>
      </w:r>
    </w:p>
    <w:p w14:paraId="28BE10C3">
      <w:pPr>
        <w:spacing w:line="560" w:lineRule="exact"/>
        <w:ind w:firstLine="636" w:firstLineChars="200"/>
        <w:rPr>
          <w:rFonts w:hint="eastAsia" w:ascii="楷体" w:hAnsi="楷体" w:eastAsia="楷体" w:cs="楷体"/>
          <w:b/>
          <w:bCs w:val="0"/>
          <w:szCs w:val="32"/>
        </w:rPr>
      </w:pPr>
      <w:r>
        <w:rPr>
          <w:rFonts w:hint="eastAsia" w:ascii="楷体" w:hAnsi="楷体" w:eastAsia="楷体" w:cs="楷体"/>
          <w:b/>
          <w:bCs w:val="0"/>
          <w:szCs w:val="32"/>
        </w:rPr>
        <w:t>（一）加强政策解读，主动引导预期</w:t>
      </w:r>
    </w:p>
    <w:p w14:paraId="75D95C1D">
      <w:pPr>
        <w:spacing w:line="560" w:lineRule="exact"/>
        <w:ind w:firstLine="636" w:firstLineChars="200"/>
        <w:rPr>
          <w:rFonts w:hint="eastAsia" w:ascii="仿宋_GB2312" w:hAnsi="宋体"/>
          <w:szCs w:val="32"/>
        </w:rPr>
      </w:pPr>
      <w:r>
        <w:rPr>
          <w:rFonts w:hint="eastAsia" w:ascii="仿宋_GB2312" w:hAnsi="宋体" w:cs="仿宋_GB2312"/>
          <w:b/>
          <w:bCs/>
          <w:szCs w:val="32"/>
        </w:rPr>
        <w:t>1.深入解读重要政策。</w:t>
      </w:r>
      <w:r>
        <w:rPr>
          <w:rFonts w:hint="eastAsia" w:ascii="仿宋_GB2312" w:hAnsi="宋体" w:cs="仿宋_GB2312"/>
          <w:szCs w:val="32"/>
        </w:rPr>
        <w:t>按照“谁起草谁解读”原则，切实做到政策性文件与解读方案、解读材料</w:t>
      </w:r>
      <w:r>
        <w:rPr>
          <w:rFonts w:ascii="仿宋_GB2312" w:hAnsi="宋体" w:cs="仿宋_GB2312"/>
          <w:szCs w:val="32"/>
        </w:rPr>
        <w:t>同步组织、同步审签、同步部署。</w:t>
      </w:r>
      <w:r>
        <w:rPr>
          <w:rFonts w:hint="eastAsia" w:ascii="仿宋_GB2312" w:hAnsi="宋体"/>
          <w:szCs w:val="32"/>
        </w:rPr>
        <w:t>2019年我厅共开展了9份文字政策解读、5份图解政策解读、1份动漫政策解读，起到了良好的政策发布和宣传效果。</w:t>
      </w:r>
    </w:p>
    <w:p w14:paraId="61F057B2">
      <w:pPr>
        <w:spacing w:line="560" w:lineRule="exact"/>
        <w:ind w:firstLine="636" w:firstLineChars="200"/>
        <w:rPr>
          <w:rFonts w:hint="eastAsia" w:ascii="仿宋_GB2312" w:hAnsi="微软雅黑"/>
          <w:szCs w:val="32"/>
        </w:rPr>
      </w:pPr>
      <w:r>
        <w:rPr>
          <w:rFonts w:hint="eastAsia" w:ascii="仿宋_GB2312" w:hAnsi="仿宋_GB2312" w:cs="仿宋_GB2312"/>
          <w:b/>
          <w:bCs/>
          <w:szCs w:val="32"/>
        </w:rPr>
        <w:t>2.领导同志解读政策。</w:t>
      </w:r>
      <w:r>
        <w:rPr>
          <w:rFonts w:hint="eastAsia" w:ascii="仿宋_GB2312" w:hAnsi="仿宋_GB2312" w:cs="仿宋_GB2312"/>
          <w:szCs w:val="32"/>
        </w:rPr>
        <w:t>在重要政策出台、重点工作推进、重大事件发生时，厅主要负责同志积极履行信息发布、权威定调、自觉把关等职责，带头解读政策，及时释疑解惑。2019年</w:t>
      </w:r>
      <w:r>
        <w:rPr>
          <w:rFonts w:hint="eastAsia" w:ascii="仿宋_GB2312"/>
          <w:szCs w:val="32"/>
        </w:rPr>
        <w:t>10月30日，省人社厅党组书记、</w:t>
      </w:r>
      <w:r>
        <w:rPr>
          <w:rFonts w:hint="eastAsia" w:ascii="仿宋_GB2312" w:hAnsi="微软雅黑"/>
          <w:szCs w:val="32"/>
        </w:rPr>
        <w:t>厅长林卫宠同志参加厅门户网站在线访谈栏目专访，解读《福建省职业技能提升行动实施方案（2019—2021年）》，并就相关问题与网民进行在线交流。2019年8月1日，</w:t>
      </w:r>
      <w:r>
        <w:rPr>
          <w:rFonts w:hint="eastAsia" w:ascii="仿宋_GB2312"/>
          <w:szCs w:val="32"/>
        </w:rPr>
        <w:t>吴小颖副厅长参与省政府网站“在线访谈”，就“探索开展直接采认台湾地区职业资格”与网民进行在线交流。</w:t>
      </w:r>
      <w:r>
        <w:rPr>
          <w:rFonts w:hint="eastAsia" w:ascii="仿宋_GB2312" w:hAnsi="微软雅黑"/>
          <w:szCs w:val="32"/>
        </w:rPr>
        <w:t>2019年9月19日，洪长春副厅长参加厅门户网站在线访谈栏目专访，就“打击骗取社会保险金行为全省在行动”相关问题面向社会进行解读，并与网民进行在线交流。</w:t>
      </w:r>
    </w:p>
    <w:p w14:paraId="3CAD195F">
      <w:pPr>
        <w:spacing w:line="560" w:lineRule="exact"/>
        <w:ind w:firstLine="636" w:firstLineChars="200"/>
        <w:rPr>
          <w:rFonts w:hint="eastAsia" w:ascii="仿宋_GB2312" w:hAnsi="仿宋_GB2312" w:cs="仿宋_GB2312"/>
          <w:szCs w:val="32"/>
          <w:u w:val="none"/>
        </w:rPr>
      </w:pPr>
      <w:r>
        <w:rPr>
          <w:rFonts w:hint="eastAsia" w:ascii="仿宋_GB2312" w:hAnsi="仿宋_GB2312" w:eastAsia="仿宋_GB2312" w:cs="仿宋_GB2312"/>
          <w:b/>
          <w:bCs/>
          <w:szCs w:val="32"/>
          <w:u w:val="none"/>
        </w:rPr>
        <w:t>3.积极回应社会关切。</w:t>
      </w:r>
      <w:r>
        <w:rPr>
          <w:rFonts w:hint="eastAsia" w:ascii="仿宋_GB2312" w:hAnsi="仿宋_GB2312" w:cs="仿宋_GB2312"/>
          <w:szCs w:val="32"/>
          <w:u w:val="none"/>
        </w:rPr>
        <w:t>持续开展舆情监测工作，实施舆情季报制度，收集汇总当季主要新闻媒体刊（播）发人社工作的情况、全省人社领域舆情动态及处置情况，研判新闻舆论形势，提出应对举措建议。加强重大突发</w:t>
      </w:r>
      <w:r>
        <w:rPr>
          <w:rFonts w:hint="eastAsia" w:ascii="仿宋_GB2312" w:hAnsi="仿宋_GB2312" w:cs="仿宋_GB2312"/>
          <w:szCs w:val="32"/>
          <w:u w:val="none"/>
          <w:lang w:eastAsia="zh-CN"/>
        </w:rPr>
        <w:t>事件</w:t>
      </w:r>
      <w:r>
        <w:rPr>
          <w:rFonts w:hint="eastAsia" w:ascii="仿宋_GB2312" w:hAnsi="仿宋_GB2312" w:cs="仿宋_GB2312"/>
          <w:szCs w:val="32"/>
          <w:u w:val="none"/>
        </w:rPr>
        <w:t>舆情风险源头研判，加强与宣传、网信等部门沟通联系，积极完善重大政务舆情信息共享、协调联动、快速反应机制。2019年，全省人社系统舆情环境较为稳定。</w:t>
      </w:r>
    </w:p>
    <w:p w14:paraId="245E7E64">
      <w:pPr>
        <w:spacing w:line="560" w:lineRule="exact"/>
        <w:ind w:firstLine="636" w:firstLineChars="200"/>
        <w:rPr>
          <w:rFonts w:hint="eastAsia" w:ascii="仿宋_GB2312" w:hAnsi="仿宋_GB2312" w:cs="仿宋_GB2312"/>
          <w:szCs w:val="32"/>
        </w:rPr>
      </w:pPr>
      <w:r>
        <w:rPr>
          <w:rFonts w:hint="eastAsia" w:ascii="仿宋_GB2312" w:hAnsi="仿宋_GB2312" w:cs="仿宋_GB2312"/>
          <w:b/>
          <w:bCs/>
          <w:szCs w:val="32"/>
        </w:rPr>
        <w:t>4.增强解读回应效果。</w:t>
      </w:r>
      <w:r>
        <w:rPr>
          <w:rFonts w:hint="eastAsia" w:ascii="仿宋_GB2312" w:hAnsi="仿宋_GB2312" w:cs="仿宋_GB2312"/>
          <w:szCs w:val="32"/>
        </w:rPr>
        <w:t>积极推进政策解读形式多样化，通过图表、图像、文字等多种形式，对政策进行形象化、通俗化、立体式、多方位解读。发挥专家学者作用，提升解读准确性、权威性、贴近性。对群众关切和社会热点，主动快速引导、正面回应疑惑，推动解决实际问题。开发设计了“福建人社”微信公众号“人社福精灵”卡通形象，并将形象运用于政策宣传等视频制作拍摄之中。制作27集“就业政策微课堂”系列，在“福建人社”微信公众号上持续发布，深入浅出讲解我省就业有关政策，引起良好的社会反响，得到人社部肯定，人社部就业司以我厅制作的视频为模板，与我厅联名制作新的16集就业政策微课堂，目前已在人社部微信公众号持续推出。</w:t>
      </w:r>
    </w:p>
    <w:p w14:paraId="5D0EB22D">
      <w:pPr>
        <w:spacing w:line="560" w:lineRule="exact"/>
        <w:ind w:firstLine="636" w:firstLineChars="200"/>
        <w:rPr>
          <w:rFonts w:hint="eastAsia" w:ascii="仿宋_GB2312" w:hAnsi="仿宋_GB2312" w:cs="仿宋_GB2312"/>
          <w:szCs w:val="32"/>
        </w:rPr>
      </w:pPr>
      <w:r>
        <w:rPr>
          <w:rFonts w:hint="eastAsia" w:ascii="仿宋_GB2312" w:hAnsi="仿宋_GB2312" w:cs="仿宋_GB2312"/>
          <w:b/>
          <w:bCs/>
          <w:szCs w:val="32"/>
        </w:rPr>
        <w:t>5.健全网评工作机制。</w:t>
      </w:r>
      <w:r>
        <w:rPr>
          <w:rFonts w:hint="eastAsia" w:ascii="仿宋_GB2312" w:hAnsi="仿宋_GB2312" w:cs="仿宋_GB2312"/>
          <w:szCs w:val="32"/>
        </w:rPr>
        <w:t>遴选推荐政治素质高、理论素养好、业务能力强、熟悉新媒体、具有一定舆情发现研判能力水平的工作人员为宣传联络（网评）员，参与相关宣传联络（网评）工作。</w:t>
      </w:r>
    </w:p>
    <w:p w14:paraId="78ECAF70">
      <w:pPr>
        <w:spacing w:line="560" w:lineRule="exact"/>
        <w:ind w:firstLine="636" w:firstLineChars="200"/>
        <w:rPr>
          <w:rFonts w:hint="eastAsia" w:ascii="楷体" w:hAnsi="楷体" w:eastAsia="楷体" w:cs="楷体"/>
          <w:b/>
          <w:bCs/>
          <w:szCs w:val="32"/>
        </w:rPr>
      </w:pPr>
      <w:r>
        <w:rPr>
          <w:rFonts w:hint="eastAsia" w:ascii="楷体" w:hAnsi="楷体" w:eastAsia="楷体" w:cs="楷体"/>
          <w:b/>
          <w:bCs/>
          <w:kern w:val="0"/>
          <w:szCs w:val="32"/>
        </w:rPr>
        <w:t>（二）</w:t>
      </w:r>
      <w:r>
        <w:rPr>
          <w:rFonts w:hint="eastAsia" w:ascii="楷体" w:hAnsi="楷体" w:eastAsia="楷体" w:cs="楷体"/>
          <w:b/>
          <w:bCs/>
          <w:szCs w:val="32"/>
        </w:rPr>
        <w:t xml:space="preserve">推进政务公开，促进政策落实   </w:t>
      </w:r>
    </w:p>
    <w:p w14:paraId="6BD99FE3">
      <w:pPr>
        <w:spacing w:line="560" w:lineRule="exact"/>
        <w:ind w:firstLine="636" w:firstLineChars="200"/>
        <w:rPr>
          <w:rFonts w:hint="eastAsia" w:ascii="仿宋_GB2312"/>
          <w:szCs w:val="32"/>
        </w:rPr>
      </w:pPr>
      <w:r>
        <w:rPr>
          <w:rFonts w:hint="eastAsia" w:ascii="仿宋_GB2312" w:hAnsi="仿宋_GB2312" w:cs="仿宋_GB2312"/>
          <w:b/>
          <w:bCs/>
          <w:szCs w:val="32"/>
        </w:rPr>
        <w:t>1.推进业务政策公开。</w:t>
      </w:r>
      <w:r>
        <w:rPr>
          <w:rFonts w:ascii="仿宋_GB2312" w:cs="仿宋_GB2312"/>
          <w:szCs w:val="32"/>
          <w:lang w:bidi="ar"/>
        </w:rPr>
        <w:t>坚持以公开为常态、不公开为例外，我厅制定出台的政策措施，除依法需要保密的外</w:t>
      </w:r>
      <w:r>
        <w:rPr>
          <w:rFonts w:hint="eastAsia" w:ascii="仿宋_GB2312" w:cs="仿宋_GB2312"/>
          <w:szCs w:val="32"/>
          <w:lang w:bidi="ar"/>
        </w:rPr>
        <w:t>都能</w:t>
      </w:r>
      <w:r>
        <w:rPr>
          <w:rFonts w:ascii="仿宋_GB2312" w:cs="仿宋_GB2312"/>
          <w:szCs w:val="32"/>
          <w:lang w:bidi="ar"/>
        </w:rPr>
        <w:t>及时公开，以公开促进依法行政和政策落地见效。</w:t>
      </w:r>
      <w:r>
        <w:rPr>
          <w:rFonts w:hint="eastAsia" w:ascii="仿宋_GB2312"/>
          <w:szCs w:val="32"/>
        </w:rPr>
        <w:t>加大稳增长、促改革、调结构、惠民生、防风险、保稳定系列政策措施的执行和落实情况公开。</w:t>
      </w:r>
      <w:r>
        <w:rPr>
          <w:rFonts w:hint="eastAsia" w:ascii="仿宋_GB2312" w:cs="仿宋_GB2312"/>
          <w:szCs w:val="32"/>
          <w:lang w:bidi="ar"/>
        </w:rPr>
        <w:t>2019年我厅主动公开文件286份，办理依申请公开件52件</w:t>
      </w:r>
      <w:r>
        <w:rPr>
          <w:rFonts w:hint="eastAsia" w:ascii="仿宋_GB2312" w:cs="仿宋_GB2312"/>
          <w:szCs w:val="32"/>
          <w:lang w:eastAsia="zh-CN" w:bidi="ar"/>
        </w:rPr>
        <w:t>；</w:t>
      </w:r>
      <w:r>
        <w:rPr>
          <w:rFonts w:hint="eastAsia" w:ascii="仿宋_GB2312" w:hAnsi="仿宋_GB2312" w:cs="仿宋_GB2312"/>
          <w:szCs w:val="32"/>
          <w:u w:val="none"/>
        </w:rPr>
        <w:t>我厅办理答复的人大代表建议、政协委员提案在厅门户网站上</w:t>
      </w:r>
      <w:r>
        <w:rPr>
          <w:rFonts w:hint="eastAsia" w:ascii="仿宋_GB2312" w:hAnsi="仿宋_GB2312" w:cs="仿宋_GB2312"/>
          <w:szCs w:val="32"/>
          <w:u w:val="none"/>
          <w:lang w:eastAsia="zh-CN"/>
        </w:rPr>
        <w:t>主动</w:t>
      </w:r>
      <w:r>
        <w:rPr>
          <w:rFonts w:hint="eastAsia" w:ascii="仿宋_GB2312" w:hAnsi="仿宋_GB2312" w:cs="仿宋_GB2312"/>
          <w:szCs w:val="32"/>
          <w:u w:val="none"/>
        </w:rPr>
        <w:t>公开</w:t>
      </w:r>
      <w:r>
        <w:rPr>
          <w:rFonts w:hint="eastAsia" w:ascii="仿宋_GB2312" w:hAnsi="仿宋_GB2312" w:cs="仿宋_GB2312"/>
          <w:szCs w:val="32"/>
          <w:u w:val="none"/>
          <w:lang w:eastAsia="zh-CN"/>
        </w:rPr>
        <w:t>1</w:t>
      </w:r>
      <w:r>
        <w:rPr>
          <w:rFonts w:hint="eastAsia" w:ascii="仿宋_GB2312" w:hAnsi="仿宋_GB2312" w:cs="仿宋_GB2312"/>
          <w:szCs w:val="32"/>
          <w:u w:val="none"/>
          <w:lang w:val="en-US" w:eastAsia="zh-CN"/>
        </w:rPr>
        <w:t>8</w:t>
      </w:r>
      <w:r>
        <w:rPr>
          <w:rFonts w:hint="eastAsia" w:ascii="仿宋_GB2312" w:hAnsi="仿宋_GB2312" w:cs="仿宋_GB2312"/>
          <w:szCs w:val="32"/>
          <w:u w:val="none"/>
        </w:rPr>
        <w:t>件</w:t>
      </w:r>
      <w:r>
        <w:rPr>
          <w:rFonts w:hint="eastAsia" w:ascii="仿宋_GB2312" w:hAnsi="仿宋_GB2312" w:cs="仿宋_GB2312"/>
          <w:szCs w:val="32"/>
          <w:u w:val="none"/>
          <w:lang w:eastAsia="zh-CN"/>
        </w:rPr>
        <w:t>，依申请公开件</w:t>
      </w:r>
      <w:r>
        <w:rPr>
          <w:rFonts w:hint="eastAsia" w:ascii="仿宋_GB2312" w:hAnsi="仿宋_GB2312" w:cs="仿宋_GB2312"/>
          <w:szCs w:val="32"/>
          <w:u w:val="none"/>
          <w:lang w:val="en-US" w:eastAsia="zh-CN"/>
        </w:rPr>
        <w:t>169 件</w:t>
      </w:r>
      <w:r>
        <w:rPr>
          <w:rFonts w:hint="eastAsia" w:ascii="仿宋_GB2312" w:hAnsi="仿宋_GB2312" w:cs="仿宋_GB2312"/>
          <w:szCs w:val="32"/>
          <w:u w:val="none"/>
        </w:rPr>
        <w:t>。</w:t>
      </w:r>
      <w:r>
        <w:rPr>
          <w:rFonts w:hint="eastAsia" w:ascii="仿宋_GB2312"/>
          <w:szCs w:val="32"/>
        </w:rPr>
        <w:t>2019年，厅门户网站继续加大“在线访谈”和网上调查、意见征集力度，已完成各类“在线访谈”12期，开展网上调查5项，开展意见征集5期，其中“企业用工情况网上调查”“关于专业技术人员（执业）资格考试组织实施、成绩查询等服务情况调查问卷”“劳动保障监察‘双随机’抽查工作知晓度问卷调查”“关于做好我省引进人才服务工作的意见征集”，在省政府门户网站同步开展，并及时公布结果，取得了良好效果。</w:t>
      </w:r>
    </w:p>
    <w:p w14:paraId="1B63CB1A">
      <w:pPr>
        <w:spacing w:line="560" w:lineRule="exact"/>
        <w:ind w:firstLine="636" w:firstLineChars="200"/>
        <w:textAlignment w:val="top"/>
        <w:rPr>
          <w:rFonts w:hint="eastAsia" w:ascii="仿宋_GB2312" w:hAnsi="仿宋_GB2312" w:cs="仿宋_GB2312"/>
          <w:szCs w:val="32"/>
        </w:rPr>
      </w:pPr>
      <w:r>
        <w:rPr>
          <w:rFonts w:hint="eastAsia" w:ascii="仿宋_GB2312" w:hAnsi="仿宋_GB2312" w:cs="仿宋_GB2312"/>
          <w:b/>
          <w:bCs/>
          <w:szCs w:val="32"/>
        </w:rPr>
        <w:t>2.推进预算决算公开。</w:t>
      </w:r>
      <w:r>
        <w:rPr>
          <w:rFonts w:hint="eastAsia" w:ascii="仿宋_GB2312" w:hAnsi="仿宋_GB2312" w:cs="仿宋_GB2312"/>
          <w:szCs w:val="32"/>
        </w:rPr>
        <w:t>按照省财政厅要求和统一</w:t>
      </w:r>
      <w:r>
        <w:rPr>
          <w:rFonts w:hint="eastAsia" w:ascii="仿宋_GB2312" w:hAnsi="仿宋_GB2312" w:cs="仿宋_GB2312"/>
          <w:szCs w:val="32"/>
          <w:lang w:eastAsia="zh-CN"/>
        </w:rPr>
        <w:t>模板</w:t>
      </w:r>
      <w:r>
        <w:rPr>
          <w:rFonts w:hint="eastAsia" w:ascii="仿宋_GB2312" w:hAnsi="仿宋_GB2312" w:cs="仿宋_GB2312"/>
          <w:szCs w:val="32"/>
        </w:rPr>
        <w:t>，做好全厅预决算公开工作，按时在厅门户网站对外公开资金预决算批复情况。</w:t>
      </w:r>
    </w:p>
    <w:p w14:paraId="012B7A84">
      <w:pPr>
        <w:snapToGrid w:val="0"/>
        <w:spacing w:line="560" w:lineRule="exact"/>
        <w:ind w:firstLine="636" w:firstLineChars="200"/>
        <w:textAlignment w:val="top"/>
        <w:rPr>
          <w:rFonts w:hint="eastAsia" w:ascii="仿宋_GB2312"/>
          <w:szCs w:val="32"/>
        </w:rPr>
      </w:pPr>
      <w:r>
        <w:rPr>
          <w:rFonts w:hint="eastAsia" w:ascii="仿宋_GB2312" w:hAnsi="仿宋_GB2312" w:cs="仿宋_GB2312"/>
          <w:b/>
          <w:bCs/>
          <w:szCs w:val="32"/>
        </w:rPr>
        <w:t>3.</w:t>
      </w:r>
      <w:r>
        <w:rPr>
          <w:rFonts w:hint="eastAsia" w:ascii="仿宋_GB2312"/>
          <w:b/>
          <w:bCs/>
          <w:szCs w:val="32"/>
        </w:rPr>
        <w:t>强化民生信息公开。</w:t>
      </w:r>
      <w:r>
        <w:rPr>
          <w:rFonts w:hint="eastAsia" w:ascii="仿宋_GB2312" w:hAnsi="微软雅黑"/>
          <w:szCs w:val="32"/>
        </w:rPr>
        <w:t>制定公开《关于实施三年万名青年见习计划的通知》《关于印发青年就业启航计划实施方案的通知》《关于切实做好化解过剩产能中职工安置工作的通知》等相关政策措施；及时发布“就业援助”、“春风行动”、“民营企业招聘周”、“就业扶贫日”、“金秋招聘月”等公共就业专项活动，定期发布《福建省人力资源市场季度职业供求状况分析》及企业招聘信息，指导各地做好相关工作，为高校毕业生、退役军人、下岗职工、困难企业职工、农民工等重点群体及用工单位提供双向交流平台。</w:t>
      </w:r>
      <w:r>
        <w:rPr>
          <w:rFonts w:hint="eastAsia" w:ascii="仿宋_GB2312" w:hAnsi="仿宋_GB2312" w:cs="仿宋_GB2312"/>
          <w:szCs w:val="32"/>
        </w:rPr>
        <w:t>制定公开《关于组织开展“稳就业八闽行——四进基层五步走”就业政策宣传专项行动的通知》（闽人社办〔2019〕165号），开展“四进基层五步走”专项行动（四进：进校园、进园区、进基地、进社区，五步走：基层宣传、巡访基地、发放材料、推动落地、挖掘典型）。组织开展就业政策落实服务落地专项行动，在厅门户网站公开《福建省就业创业政策清单》。会同省财政厅印发《关于进一步加强创业孵化基地建设的通知》（闽人社文〔2019〕158号），组织评审认定一批省级创业孵化示范基地，示范推动创业带动就业工作。</w:t>
      </w:r>
    </w:p>
    <w:p w14:paraId="32DC51C3">
      <w:pPr>
        <w:spacing w:line="560" w:lineRule="exact"/>
        <w:ind w:firstLine="636" w:firstLineChars="200"/>
        <w:jc w:val="left"/>
        <w:rPr>
          <w:rFonts w:hint="eastAsia" w:ascii="仿宋_GB2312"/>
          <w:color w:val="auto"/>
          <w:szCs w:val="32"/>
        </w:rPr>
      </w:pPr>
      <w:r>
        <w:rPr>
          <w:rFonts w:hint="eastAsia" w:ascii="仿宋_GB2312"/>
          <w:b/>
          <w:color w:val="auto"/>
          <w:szCs w:val="32"/>
        </w:rPr>
        <w:t>4.</w:t>
      </w:r>
      <w:r>
        <w:rPr>
          <w:rFonts w:hint="eastAsia" w:ascii="仿宋_GB2312" w:hAnsi="仿宋_GB2312" w:cs="仿宋_GB2312"/>
          <w:b/>
          <w:bCs/>
          <w:color w:val="auto"/>
          <w:szCs w:val="32"/>
        </w:rPr>
        <w:t>调整公开权责清单。</w:t>
      </w:r>
      <w:r>
        <w:rPr>
          <w:rFonts w:hint="eastAsia" w:ascii="仿宋_GB2312" w:hAnsi="宋体" w:cs="宋体"/>
          <w:bCs/>
          <w:color w:val="auto"/>
          <w:kern w:val="0"/>
          <w:szCs w:val="32"/>
        </w:rPr>
        <w:t>做好省本级审批服务事项与国家基本目录对接关联。</w:t>
      </w:r>
      <w:r>
        <w:rPr>
          <w:rFonts w:hint="eastAsia" w:ascii="仿宋_GB2312"/>
          <w:color w:val="auto"/>
          <w:szCs w:val="32"/>
        </w:rPr>
        <w:t>及时调整行政权力运行栏目，公布权责清单和行政权力运行情况。根据最新公布的行政权力</w:t>
      </w:r>
      <w:r>
        <w:rPr>
          <w:rFonts w:hint="eastAsia" w:ascii="仿宋_GB2312"/>
          <w:color w:val="auto"/>
          <w:szCs w:val="32"/>
          <w:lang w:eastAsia="zh-CN"/>
        </w:rPr>
        <w:t>事项</w:t>
      </w:r>
      <w:r>
        <w:rPr>
          <w:rFonts w:hint="eastAsia" w:ascii="仿宋_GB2312"/>
          <w:color w:val="auto"/>
          <w:szCs w:val="32"/>
        </w:rPr>
        <w:t>，重新规范我厅行政职权和公共服务事项，按规范要求更新发布事项具体内容，同时公布办事事项依据文件，按月公布行政权力运行情况，做好咨询投诉等工作。</w:t>
      </w:r>
    </w:p>
    <w:p w14:paraId="4C7E02F1">
      <w:pPr>
        <w:spacing w:line="560" w:lineRule="exact"/>
        <w:ind w:firstLine="636" w:firstLineChars="200"/>
        <w:jc w:val="left"/>
        <w:rPr>
          <w:rFonts w:hint="eastAsia" w:ascii="仿宋_GB2312"/>
          <w:bCs/>
          <w:szCs w:val="32"/>
        </w:rPr>
      </w:pPr>
      <w:r>
        <w:rPr>
          <w:rFonts w:hint="eastAsia" w:ascii="仿宋_GB2312"/>
          <w:b/>
          <w:szCs w:val="32"/>
          <w:lang w:val="en-US" w:eastAsia="zh-CN"/>
        </w:rPr>
        <w:t>5</w:t>
      </w:r>
      <w:r>
        <w:rPr>
          <w:rFonts w:hint="eastAsia" w:ascii="仿宋_GB2312"/>
          <w:b/>
          <w:szCs w:val="32"/>
        </w:rPr>
        <w:t>.深化网上办事公开。</w:t>
      </w:r>
      <w:r>
        <w:rPr>
          <w:rFonts w:hint="eastAsia" w:ascii="仿宋_GB2312" w:cs="仿宋_GB2312"/>
          <w:bCs/>
          <w:spacing w:val="-2"/>
          <w:szCs w:val="32"/>
        </w:rPr>
        <w:t>完善</w:t>
      </w:r>
      <w:r>
        <w:rPr>
          <w:rFonts w:hint="eastAsia" w:ascii="仿宋_GB2312" w:hAnsi="宋体" w:cs="Arial"/>
          <w:bCs/>
          <w:kern w:val="0"/>
          <w:szCs w:val="32"/>
        </w:rPr>
        <w:t>行政审批事项和公共服务事项网上审批服务功能，</w:t>
      </w:r>
      <w:r>
        <w:rPr>
          <w:rFonts w:hint="eastAsia" w:ascii="仿宋_GB2312"/>
          <w:bCs/>
          <w:szCs w:val="32"/>
        </w:rPr>
        <w:t>进驻行政服务中心及网上办事大厅办理的事项100%生成电子证照，推送电子证照库，积极推行电子证照共享，提升省网上办事大厅四星级、五星级事项比例，2019年网上五星级办事事项（全流程网上办事）由3项提升到14项。对进驻的行政许可、公共服务事项进行梳理，通过省网上办事大厅全流程办理、快递收取快递送达、网上受理快递送达等方式，进一步推动办事事项实现“一趟不用跑”，2019年厅行政服务中心“一趟不用跑”办事事项由23项提升到38项，占行政许可和公共服务事项80.9%。</w:t>
      </w:r>
    </w:p>
    <w:p w14:paraId="60A7B940">
      <w:pPr>
        <w:spacing w:line="560" w:lineRule="exact"/>
        <w:ind w:firstLine="636" w:firstLineChars="200"/>
        <w:jc w:val="left"/>
        <w:rPr>
          <w:rFonts w:ascii="仿宋_GB2312" w:hAnsi="微软雅黑"/>
          <w:szCs w:val="32"/>
        </w:rPr>
      </w:pPr>
      <w:r>
        <w:rPr>
          <w:rFonts w:hint="eastAsia" w:ascii="仿宋_GB2312"/>
          <w:b/>
          <w:szCs w:val="32"/>
          <w:lang w:val="en-US" w:eastAsia="zh-CN"/>
        </w:rPr>
        <w:t>6</w:t>
      </w:r>
      <w:r>
        <w:rPr>
          <w:rFonts w:hint="eastAsia" w:ascii="仿宋_GB2312"/>
          <w:b/>
          <w:szCs w:val="32"/>
        </w:rPr>
        <w:t>.提升窗口服务能力。</w:t>
      </w:r>
      <w:r>
        <w:rPr>
          <w:rFonts w:hint="eastAsia" w:ascii="仿宋_GB2312" w:hAnsi="仿宋_GB2312"/>
          <w:bCs/>
          <w:szCs w:val="32"/>
        </w:rPr>
        <w:t>积极构建行政服务中心行政审批标准体系，共制定相关标准248项</w:t>
      </w:r>
      <w:r>
        <w:rPr>
          <w:rFonts w:hint="eastAsia" w:ascii="仿宋_GB2312"/>
          <w:bCs/>
          <w:szCs w:val="32"/>
        </w:rPr>
        <w:t>，“省级行政审批标准化示范试点单位”建设通过验收。</w:t>
      </w:r>
      <w:r>
        <w:rPr>
          <w:rFonts w:hint="eastAsia" w:ascii="仿宋_GB2312" w:hAnsi="微软雅黑"/>
          <w:szCs w:val="32"/>
        </w:rPr>
        <w:t>依托实体大厅和网上办事大厅，</w:t>
      </w:r>
      <w:r>
        <w:rPr>
          <w:rFonts w:hint="eastAsia" w:ascii="仿宋_GB2312" w:hAnsi="仿宋_GB2312" w:cs="仿宋_GB2312"/>
          <w:szCs w:val="32"/>
        </w:rPr>
        <w:t>进一步</w:t>
      </w:r>
      <w:r>
        <w:rPr>
          <w:rFonts w:hint="eastAsia" w:ascii="仿宋_GB2312" w:hAnsi="微软雅黑"/>
          <w:szCs w:val="32"/>
        </w:rPr>
        <w:t>整合业务、优化流程，实施设置分工合理的“综合窗口”，推进行政服务中心“综合柜员制”有效实行。</w:t>
      </w:r>
    </w:p>
    <w:p w14:paraId="661305A6">
      <w:pPr>
        <w:spacing w:line="560" w:lineRule="exact"/>
        <w:ind w:firstLine="636" w:firstLineChars="200"/>
        <w:rPr>
          <w:rFonts w:hint="eastAsia" w:ascii="楷体" w:hAnsi="楷体" w:eastAsia="楷体" w:cs="楷体"/>
          <w:b/>
          <w:bCs/>
          <w:szCs w:val="32"/>
        </w:rPr>
      </w:pPr>
      <w:r>
        <w:rPr>
          <w:rFonts w:hint="eastAsia" w:ascii="楷体" w:hAnsi="楷体" w:eastAsia="楷体" w:cs="楷体"/>
          <w:b/>
          <w:bCs/>
          <w:szCs w:val="32"/>
        </w:rPr>
        <w:t>（三）推进平台建设，优化服务功能</w:t>
      </w:r>
    </w:p>
    <w:p w14:paraId="5BD7139E">
      <w:pPr>
        <w:spacing w:line="560" w:lineRule="exact"/>
        <w:ind w:firstLine="636" w:firstLineChars="200"/>
        <w:rPr>
          <w:rFonts w:hint="eastAsia" w:ascii="仿宋_GB2312" w:hAnsi="仿宋_GB2312" w:eastAsia="仿宋_GB2312" w:cs="仿宋_GB2312"/>
          <w:b/>
          <w:bCs/>
          <w:szCs w:val="32"/>
        </w:rPr>
      </w:pPr>
      <w:r>
        <w:rPr>
          <w:rFonts w:hint="eastAsia" w:ascii="仿宋_GB2312" w:hAnsi="仿宋_GB2312" w:eastAsia="仿宋_GB2312" w:cs="仿宋_GB2312"/>
          <w:b/>
          <w:bCs/>
          <w:szCs w:val="32"/>
        </w:rPr>
        <w:t>1.推进门户网站优质规范发展。</w:t>
      </w:r>
    </w:p>
    <w:p w14:paraId="21C33986">
      <w:pPr>
        <w:spacing w:line="560" w:lineRule="exact"/>
        <w:ind w:firstLine="636" w:firstLineChars="200"/>
        <w:rPr>
          <w:rFonts w:hint="eastAsia" w:ascii="仿宋_GB2312" w:hAnsi="仿宋_GB2312" w:cs="仿宋_GB2312"/>
          <w:kern w:val="0"/>
          <w:szCs w:val="32"/>
        </w:rPr>
      </w:pPr>
      <w:r>
        <w:rPr>
          <w:rFonts w:hint="eastAsia" w:ascii="仿宋_GB2312" w:hAnsi="仿宋_GB2312" w:eastAsia="仿宋_GB2312" w:cs="仿宋_GB2312"/>
          <w:b/>
          <w:bCs/>
          <w:szCs w:val="32"/>
        </w:rPr>
        <w:t>（1）强化门户网站管理。</w:t>
      </w:r>
      <w:r>
        <w:rPr>
          <w:rFonts w:hint="eastAsia" w:ascii="仿宋_GB2312" w:hAnsi="仿宋_GB2312" w:cs="仿宋_GB2312"/>
          <w:szCs w:val="32"/>
        </w:rPr>
        <w:t>严格落实网络意识形态责任制，加强厅门户网站内容建设和信息发布审核。</w:t>
      </w:r>
      <w:r>
        <w:rPr>
          <w:rFonts w:hint="eastAsia" w:ascii="仿宋_GB2312"/>
          <w:szCs w:val="32"/>
        </w:rPr>
        <w:t>出台《福建省人力资源和社会保障厅办公室关于进一步规范信息审核发布管理工作的通知》（闽人社办〔2019〕129号）和《关于再强调加强厅网站信息发布审核工作的通知》，</w:t>
      </w:r>
      <w:r>
        <w:rPr>
          <w:rFonts w:hint="eastAsia" w:ascii="仿宋_GB2312" w:hAnsi="仿宋_GB2312" w:cs="仿宋_GB2312"/>
          <w:szCs w:val="32"/>
        </w:rPr>
        <w:t>加强厅各处室单位信息发布的审核把关，严格审核内容，规范审核流程，完善监督机制，实现信息发布审查规范化、制度化和全覆盖。</w:t>
      </w:r>
      <w:r>
        <w:rPr>
          <w:rFonts w:hint="eastAsia" w:ascii="仿宋_GB2312"/>
          <w:szCs w:val="32"/>
        </w:rPr>
        <w:t>认真落实</w:t>
      </w:r>
      <w:r>
        <w:rPr>
          <w:rFonts w:hint="eastAsia" w:ascii="仿宋_GB2312" w:hAnsi="仿宋_GB2312" w:cs="仿宋_GB2312"/>
          <w:kern w:val="0"/>
          <w:szCs w:val="32"/>
        </w:rPr>
        <w:t>《福建省人力资源和社会保障厅办公室关于加强省人社厅系统网站管理工作的通知》（闽人社办〔2017〕240号）、《厅门户网站日常运行维护制度》（闽人社办〔2014〕185号）、《厅门户网站安全应急处置预案》（闽人社办〔2014〕136号）等规定，严格按照制度加强日常管理，</w:t>
      </w:r>
      <w:r>
        <w:rPr>
          <w:rFonts w:hint="eastAsia" w:ascii="仿宋_GB2312" w:hAnsi="仿宋_GB2312" w:cs="仿宋_GB2312"/>
          <w:szCs w:val="32"/>
        </w:rPr>
        <w:t>严格审核内容，规范审核流程，完善监督机制，实现信息发布审查规范化、制度化和全覆盖，</w:t>
      </w:r>
      <w:r>
        <w:rPr>
          <w:rFonts w:hint="eastAsia" w:ascii="仿宋_GB2312" w:hAnsi="仿宋_GB2312" w:cs="仿宋_GB2312"/>
          <w:kern w:val="0"/>
          <w:szCs w:val="32"/>
        </w:rPr>
        <w:t>确保网站安全有序运行。</w:t>
      </w:r>
    </w:p>
    <w:p w14:paraId="3C60E1F6">
      <w:pPr>
        <w:spacing w:line="560" w:lineRule="exact"/>
        <w:ind w:firstLine="636" w:firstLineChars="200"/>
        <w:rPr>
          <w:rFonts w:hint="eastAsia" w:ascii="仿宋_GB2312" w:hAnsi="仿宋_GB2312" w:cs="仿宋_GB2312"/>
          <w:szCs w:val="32"/>
        </w:rPr>
      </w:pPr>
      <w:r>
        <w:rPr>
          <w:rFonts w:hint="eastAsia" w:ascii="仿宋_GB2312" w:hAnsi="仿宋_GB2312" w:cs="仿宋_GB2312"/>
          <w:b/>
          <w:bCs/>
          <w:szCs w:val="32"/>
        </w:rPr>
        <w:t>（2）推进网站集约管理。一是丰富政务信息。</w:t>
      </w:r>
      <w:r>
        <w:rPr>
          <w:rFonts w:hint="eastAsia" w:ascii="仿宋_GB2312" w:hAnsi="仿宋_GB2312" w:cs="仿宋_GB2312"/>
          <w:szCs w:val="32"/>
        </w:rPr>
        <w:t>按照“劳动就业、人事人才、社会保障”等人社主要业务设置政务栏目，加强新闻宣传，规范发布“国务院信息、省政府信息、上级要闻、重要新闻和交流园地”等热点新闻动向。开设“最新政策、公示公告、政策解读、财政资金、统计信息、规划计划、人事信息”栏目，及时公布政策解读信息，规范发布文件通知、资金信息、规划计划，多图表发布各类统计信息。根据2019年我厅“三定”方案，重新发布各处室、直属单位职能、联系人、联系方式和工作时间等基本信息。开设“根治欠薪进行时”“不忘初心、牢记使命”“事业单位招聘”“12·4宪法宣传日”等专题栏目，丰富网站内容。</w:t>
      </w:r>
      <w:r>
        <w:rPr>
          <w:rFonts w:hint="eastAsia" w:ascii="仿宋_GB2312" w:hAnsi="仿宋_GB2312" w:cs="仿宋_GB2312"/>
          <w:b/>
          <w:bCs/>
          <w:szCs w:val="32"/>
        </w:rPr>
        <w:t>二是拓展行政服务。</w:t>
      </w:r>
      <w:r>
        <w:rPr>
          <w:rFonts w:hint="eastAsia" w:ascii="仿宋_GB2312" w:hAnsi="仿宋_GB2312" w:cs="仿宋_GB2312"/>
          <w:b w:val="0"/>
          <w:bCs w:val="0"/>
          <w:szCs w:val="32"/>
          <w:lang w:eastAsia="zh-CN"/>
        </w:rPr>
        <w:t>已实现</w:t>
      </w:r>
      <w:r>
        <w:rPr>
          <w:rFonts w:hint="eastAsia" w:ascii="仿宋_GB2312" w:hAnsi="仿宋_GB2312" w:cs="仿宋_GB2312"/>
          <w:szCs w:val="32"/>
        </w:rPr>
        <w:t>厅网站与</w:t>
      </w:r>
      <w:r>
        <w:rPr>
          <w:rFonts w:hint="eastAsia" w:ascii="仿宋_GB2312" w:hAnsi="仿宋_GB2312" w:cs="仿宋_GB2312"/>
          <w:szCs w:val="32"/>
          <w:lang w:eastAsia="zh-CN"/>
        </w:rPr>
        <w:t>中央政府网站重要新闻和重大政策文件同步链接</w:t>
      </w:r>
      <w:r>
        <w:rPr>
          <w:rFonts w:hint="eastAsia" w:ascii="仿宋_GB2312" w:hAnsi="仿宋_GB2312" w:cs="仿宋_GB2312"/>
          <w:szCs w:val="32"/>
        </w:rPr>
        <w:t>，</w:t>
      </w:r>
      <w:r>
        <w:rPr>
          <w:rFonts w:hint="eastAsia" w:ascii="仿宋_GB2312" w:hAnsi="仿宋_GB2312" w:cs="仿宋_GB2312"/>
          <w:szCs w:val="32"/>
          <w:lang w:eastAsia="zh-CN"/>
        </w:rPr>
        <w:t>我厅</w:t>
      </w:r>
      <w:r>
        <w:rPr>
          <w:rFonts w:hint="eastAsia" w:ascii="仿宋_GB2312" w:hAnsi="仿宋_GB2312" w:cs="仿宋_GB2312"/>
          <w:szCs w:val="32"/>
        </w:rPr>
        <w:t>办事服务</w:t>
      </w:r>
      <w:r>
        <w:rPr>
          <w:rFonts w:hint="eastAsia" w:ascii="仿宋_GB2312" w:hAnsi="仿宋_GB2312" w:cs="仿宋_GB2312"/>
          <w:szCs w:val="32"/>
          <w:lang w:eastAsia="zh-CN"/>
        </w:rPr>
        <w:t>事项已</w:t>
      </w:r>
      <w:r>
        <w:rPr>
          <w:rFonts w:hint="eastAsia" w:ascii="仿宋_GB2312" w:hAnsi="仿宋_GB2312" w:cs="仿宋_GB2312"/>
          <w:szCs w:val="32"/>
        </w:rPr>
        <w:t>全部</w:t>
      </w:r>
      <w:r>
        <w:rPr>
          <w:rFonts w:hint="eastAsia" w:ascii="仿宋_GB2312" w:hAnsi="仿宋_GB2312" w:cs="仿宋_GB2312"/>
          <w:szCs w:val="32"/>
          <w:lang w:eastAsia="zh-CN"/>
        </w:rPr>
        <w:t>纳入</w:t>
      </w:r>
      <w:r>
        <w:rPr>
          <w:rFonts w:hint="eastAsia" w:ascii="仿宋_GB2312" w:hAnsi="仿宋_GB2312" w:cs="仿宋_GB2312"/>
          <w:szCs w:val="32"/>
        </w:rPr>
        <w:t>福建省政务服务网。在福建12333公共服务平台的服务个人功能基础上，建设服务单位的网上办事大厅。积极推进与“闽政通”对接，社保卡挂失、社保缴纳、执（</w:t>
      </w:r>
      <w:r>
        <w:rPr>
          <w:rFonts w:ascii="仿宋_GB2312" w:hAnsi="仿宋_GB2312" w:cs="仿宋_GB2312"/>
          <w:szCs w:val="32"/>
        </w:rPr>
        <w:t>职）业资格考试成绩、退休人员</w:t>
      </w:r>
      <w:r>
        <w:rPr>
          <w:rFonts w:hint="eastAsia" w:ascii="仿宋_GB2312" w:hAnsi="仿宋_GB2312" w:cs="仿宋_GB2312"/>
          <w:szCs w:val="32"/>
        </w:rPr>
        <w:t>领取基本养老保险待遇</w:t>
      </w:r>
      <w:r>
        <w:rPr>
          <w:rFonts w:ascii="仿宋_GB2312" w:hAnsi="仿宋_GB2312" w:cs="仿宋_GB2312"/>
          <w:szCs w:val="32"/>
        </w:rPr>
        <w:t>资格认证、大中专毕业生创业政策、毕业生档案信息、个人就失业登记</w:t>
      </w:r>
      <w:r>
        <w:rPr>
          <w:rFonts w:hint="eastAsia" w:ascii="仿宋_GB2312" w:hAnsi="仿宋_GB2312" w:cs="仿宋_GB2312"/>
          <w:szCs w:val="32"/>
        </w:rPr>
        <w:t>等事项可通过“</w:t>
      </w:r>
      <w:r>
        <w:rPr>
          <w:rFonts w:ascii="仿宋_GB2312" w:hAnsi="仿宋_GB2312" w:cs="仿宋_GB2312"/>
          <w:szCs w:val="32"/>
        </w:rPr>
        <w:t>闽政通</w:t>
      </w:r>
      <w:r>
        <w:rPr>
          <w:rFonts w:hint="eastAsia" w:ascii="仿宋_GB2312" w:hAnsi="仿宋_GB2312" w:cs="仿宋_GB2312"/>
          <w:szCs w:val="32"/>
        </w:rPr>
        <w:t>”查询</w:t>
      </w:r>
      <w:r>
        <w:rPr>
          <w:rFonts w:ascii="仿宋_GB2312" w:hAnsi="仿宋_GB2312" w:cs="仿宋_GB2312"/>
          <w:szCs w:val="32"/>
        </w:rPr>
        <w:t>。</w:t>
      </w:r>
      <w:r>
        <w:rPr>
          <w:rFonts w:hint="eastAsia" w:ascii="仿宋_GB2312" w:hAnsi="仿宋_GB2312" w:cs="仿宋_GB2312"/>
          <w:b/>
          <w:bCs/>
          <w:szCs w:val="32"/>
        </w:rPr>
        <w:t>三是提升互动交流</w:t>
      </w:r>
      <w:r>
        <w:rPr>
          <w:rFonts w:hint="eastAsia" w:ascii="仿宋_GB2312" w:hAnsi="仿宋_GB2312" w:cs="仿宋_GB2312"/>
          <w:szCs w:val="32"/>
        </w:rPr>
        <w:t>。做好“福建省12345便民服务平台”群众咨询、投诉的办理工作。开发“智能机器人”互动问答系统，该系统正在后台数据整理和测试阶段，系统上线后将实现PC端、手机端语音、文字智能回答。</w:t>
      </w:r>
    </w:p>
    <w:p w14:paraId="52475DD8">
      <w:pPr>
        <w:spacing w:line="560" w:lineRule="exact"/>
        <w:ind w:firstLine="636" w:firstLineChars="200"/>
        <w:rPr>
          <w:rFonts w:hint="eastAsia" w:ascii="仿宋_GB2312" w:hAnsi="仿宋_GB2312" w:cs="仿宋_GB2312"/>
          <w:szCs w:val="32"/>
        </w:rPr>
      </w:pPr>
      <w:r>
        <w:rPr>
          <w:rFonts w:hint="eastAsia" w:ascii="仿宋_GB2312" w:hAnsi="仿宋_GB2312" w:cs="仿宋_GB2312"/>
          <w:b/>
          <w:bCs/>
          <w:szCs w:val="32"/>
        </w:rPr>
        <w:t>（3）完成域名清理工作。</w:t>
      </w:r>
      <w:r>
        <w:rPr>
          <w:rFonts w:hint="eastAsia" w:ascii="仿宋_GB2312" w:hAnsi="仿宋_GB2312" w:cs="仿宋_GB2312"/>
          <w:szCs w:val="32"/>
        </w:rPr>
        <w:t>整合归并直属单位网站，根据省里统一部署，对厅直属单位网站独立域名进行整合清理。完成厅门户网站域名备案工作，按照省政府关于域名管理工作的要求，注销了我厅原来的门户网站域名及备案，注销了我厅12333网站、毕业生办网站域名及备案，按时完成省政府要求的域名清理工作。</w:t>
      </w:r>
    </w:p>
    <w:p w14:paraId="640203C1">
      <w:pPr>
        <w:spacing w:line="560" w:lineRule="exact"/>
        <w:ind w:firstLine="636" w:firstLineChars="200"/>
        <w:rPr>
          <w:rFonts w:hint="eastAsia" w:ascii="仿宋_GB2312" w:hAnsi="仿宋_GB2312" w:cs="仿宋_GB2312"/>
          <w:szCs w:val="32"/>
        </w:rPr>
      </w:pPr>
      <w:r>
        <w:rPr>
          <w:rFonts w:hint="eastAsia" w:ascii="仿宋_GB2312" w:hAnsi="仿宋_GB2312" w:cs="仿宋_GB2312"/>
          <w:b/>
          <w:bCs/>
          <w:szCs w:val="32"/>
        </w:rPr>
        <w:t>（4）做好网站改版迁移。</w:t>
      </w:r>
      <w:r>
        <w:rPr>
          <w:rFonts w:hint="eastAsia" w:ascii="仿宋_GB2312" w:hAnsi="仿宋_GB2312" w:cs="仿宋_GB2312"/>
          <w:szCs w:val="32"/>
        </w:rPr>
        <w:t>根据省政府电子政务办、省经济信息中心要求，按时完成福建省人力资源和社会保障厅门户网站迁移至福建省级政府网站统一技术平台工作，开展厅门户网站新平台上线培训，认真做好网站平台迁移上线有关工作。对照网站指引要求，梳理厅直属单位网站，印发《福建省人力资源和社会保障厅办公室关于关于印发福建省人力资源和社会保障厅系统网站归并整合方案的通知》（闽人社办〔2018〕109号），先后将6个网站整合归并到厅门户网站。</w:t>
      </w:r>
    </w:p>
    <w:p w14:paraId="1B67BDC1">
      <w:pPr>
        <w:spacing w:line="560" w:lineRule="exact"/>
        <w:ind w:left="636" w:leftChars="200"/>
        <w:rPr>
          <w:rFonts w:hint="eastAsia" w:ascii="仿宋_GB2312" w:hAnsi="仿宋_GB2312" w:eastAsia="仿宋_GB2312" w:cs="仿宋_GB2312"/>
          <w:b/>
          <w:bCs/>
          <w:szCs w:val="32"/>
        </w:rPr>
      </w:pPr>
      <w:r>
        <w:rPr>
          <w:rFonts w:hint="eastAsia" w:ascii="仿宋_GB2312" w:hAnsi="仿宋_GB2312" w:eastAsia="仿宋_GB2312" w:cs="仿宋_GB2312"/>
          <w:b/>
          <w:bCs/>
          <w:szCs w:val="32"/>
        </w:rPr>
        <w:t>2.推进政务新媒体健康有序发展。</w:t>
      </w:r>
    </w:p>
    <w:p w14:paraId="35B0048B">
      <w:pPr>
        <w:spacing w:line="560" w:lineRule="exact"/>
        <w:ind w:firstLine="636" w:firstLineChars="200"/>
        <w:rPr>
          <w:rFonts w:hint="eastAsia" w:ascii="楷体" w:hAnsi="楷体" w:eastAsia="楷体" w:cs="楷体"/>
          <w:bCs/>
          <w:szCs w:val="32"/>
        </w:rPr>
      </w:pPr>
      <w:r>
        <w:rPr>
          <w:rFonts w:hint="eastAsia" w:ascii="仿宋_GB2312" w:hAnsi="仿宋_GB2312" w:eastAsia="仿宋_GB2312" w:cs="仿宋_GB2312"/>
          <w:b/>
          <w:bCs/>
          <w:szCs w:val="32"/>
        </w:rPr>
        <w:t>（1）完善制度。</w:t>
      </w:r>
      <w:r>
        <w:rPr>
          <w:rFonts w:hint="eastAsia" w:ascii="仿宋_GB2312" w:hAnsi="仿宋_GB2312" w:cs="仿宋_GB2312"/>
          <w:szCs w:val="32"/>
        </w:rPr>
        <w:t>制定《关于进一步规范信息审核发布管理工作的通知》，加强对信息发布的审核把关，严格审核内容，规范审核流程，完善监督机制，实现信息发布审查规范化、制度化和全覆盖。完善厅内部绩效考核宣传指标设置，合理设置加分和扣分项目，调动各处室（单位）宣传工作积极性。</w:t>
      </w:r>
    </w:p>
    <w:p w14:paraId="30AD2052">
      <w:pPr>
        <w:spacing w:line="560" w:lineRule="exact"/>
        <w:ind w:firstLine="636" w:firstLineChars="200"/>
        <w:rPr>
          <w:rFonts w:hint="eastAsia" w:ascii="仿宋_GB2312" w:hAnsi="仿宋_GB2312" w:cs="仿宋_GB2312"/>
          <w:szCs w:val="32"/>
        </w:rPr>
      </w:pPr>
      <w:r>
        <w:rPr>
          <w:rFonts w:hint="eastAsia" w:ascii="仿宋_GB2312" w:hAnsi="仿宋_GB2312" w:eastAsia="仿宋_GB2312" w:cs="仿宋_GB2312"/>
          <w:b/>
          <w:bCs/>
          <w:szCs w:val="32"/>
        </w:rPr>
        <w:t>（2）规范管理。</w:t>
      </w:r>
      <w:r>
        <w:rPr>
          <w:rFonts w:hint="eastAsia" w:ascii="仿宋_GB2312" w:hAnsi="仿宋_GB2312" w:cs="仿宋_GB2312"/>
          <w:szCs w:val="32"/>
        </w:rPr>
        <w:t>制定“厅微信公众号整合升级方案”，正在对8个直属单位微信公众号进行整合，将其服务功能迁移到“福建人社”微信公众号。制定厅政务微信管理办法（暂行），规定厅政务微信的发布内容、运营管理、工作保障等，确保微信平台健康、安全、高效、稳定运行，全年共发布各类信息818条，粉丝数66406人。</w:t>
      </w:r>
    </w:p>
    <w:p w14:paraId="5F15A5C9">
      <w:pPr>
        <w:spacing w:line="560" w:lineRule="exact"/>
        <w:ind w:firstLine="636" w:firstLineChars="200"/>
        <w:rPr>
          <w:rFonts w:hint="eastAsia" w:ascii="仿宋_GB2312" w:hAnsi="仿宋_GB2312" w:cs="仿宋_GB2312"/>
          <w:color w:val="auto"/>
          <w:szCs w:val="32"/>
          <w:lang w:val="zh-CN"/>
        </w:rPr>
      </w:pPr>
      <w:r>
        <w:rPr>
          <w:rFonts w:hint="eastAsia" w:ascii="仿宋_GB2312" w:hAnsi="仿宋_GB2312" w:eastAsia="仿宋_GB2312" w:cs="仿宋_GB2312"/>
          <w:b/>
          <w:bCs/>
          <w:szCs w:val="32"/>
        </w:rPr>
        <w:t>（3）加强宣传。</w:t>
      </w:r>
      <w:r>
        <w:rPr>
          <w:rFonts w:hint="eastAsia" w:ascii="仿宋_GB2312" w:hAnsi="仿宋_GB2312" w:cs="仿宋_GB2312"/>
          <w:color w:val="auto"/>
          <w:szCs w:val="32"/>
          <w:lang w:val="zh-CN"/>
        </w:rPr>
        <w:t>认真落实厅2019年宣传工作计划，全年在中央、省级和各地市媒体上共发表我省人力资源社会保障工作宣传报道371篇，其中国家级、省级媒体发表304篇。《经济日报》头版刊登我厅新闻2篇，《福建日报》刊登我厅新闻32篇，其中头版11篇；福建电视台新闻频道播放我厅新闻11篇，其中“不忘初心、牢记使命”主题教育开展情况的视频在被中央电视台新闻联播频道选用播出。</w:t>
      </w:r>
    </w:p>
    <w:p w14:paraId="33097D9C">
      <w:pPr>
        <w:spacing w:line="560" w:lineRule="exact"/>
        <w:ind w:firstLine="636" w:firstLineChars="200"/>
        <w:rPr>
          <w:rFonts w:hint="eastAsia" w:ascii="仿宋_GB2312" w:hAnsi="仿宋_GB2312" w:cs="仿宋_GB2312"/>
          <w:szCs w:val="32"/>
        </w:rPr>
      </w:pPr>
      <w:r>
        <w:rPr>
          <w:rFonts w:hint="eastAsia" w:ascii="仿宋_GB2312" w:hAnsi="仿宋_GB2312" w:eastAsia="仿宋_GB2312" w:cs="仿宋_GB2312"/>
          <w:b/>
          <w:bCs/>
          <w:szCs w:val="32"/>
        </w:rPr>
        <w:t>（4）打造专题。</w:t>
      </w:r>
      <w:r>
        <w:rPr>
          <w:rFonts w:hint="eastAsia" w:ascii="仿宋_GB2312" w:hAnsi="仿宋_GB2312" w:cs="仿宋_GB2312"/>
          <w:szCs w:val="32"/>
        </w:rPr>
        <w:t>组织开展“庆祝新中国成立七十周年”主题宣传活动，主要包括制作我厅形象宣传短片、开展“福建人社风采录”系列宣传及开展“‘两高’人才风采录”专题宣传三部分。同时制定“就业政策‘微课堂’”、“骗取社会保险金行为宣传”、全省人社系统练兵比武宣传等专题宣传方案，并积极开展宣传工作。其中就业政策“微课堂”得到人社部就业司的肯定，已在人社部微信公众号等平台上向全国推广。</w:t>
      </w:r>
    </w:p>
    <w:p w14:paraId="03B2D8C6">
      <w:pPr>
        <w:spacing w:line="560" w:lineRule="exact"/>
        <w:ind w:firstLine="636" w:firstLineChars="200"/>
        <w:rPr>
          <w:rFonts w:hint="eastAsia" w:ascii="仿宋_GB2312" w:hAnsi="仿宋_GB2312" w:cs="仿宋_GB2312"/>
          <w:szCs w:val="32"/>
        </w:rPr>
      </w:pPr>
      <w:r>
        <w:rPr>
          <w:rFonts w:hint="eastAsia" w:ascii="仿宋_GB2312" w:hAnsi="仿宋_GB2312" w:eastAsia="仿宋_GB2312" w:cs="仿宋_GB2312"/>
          <w:b/>
          <w:bCs/>
          <w:szCs w:val="32"/>
        </w:rPr>
        <w:t>（5）加强联动。</w:t>
      </w:r>
      <w:r>
        <w:rPr>
          <w:rFonts w:hint="eastAsia" w:ascii="仿宋_GB2312" w:hAnsi="仿宋_GB2312" w:cs="仿宋_GB2312"/>
          <w:szCs w:val="32"/>
        </w:rPr>
        <w:t>制定我省人社系统网络宣传矩阵工作方案，提出按照分步实施、分级管理、稳妥推进的原则，构建“多层级联动、多平台覆盖”的全省人社网络宣传矩阵的总体思路，并明确目标任务、工作机制、实施步骤和工作要求，努力建成我省人社系统宣传矩阵。</w:t>
      </w:r>
    </w:p>
    <w:p w14:paraId="0153E6D8">
      <w:pPr>
        <w:spacing w:line="560" w:lineRule="exact"/>
        <w:ind w:firstLine="636"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（四）健全制度规范，加强政府信息管理</w:t>
      </w:r>
    </w:p>
    <w:p w14:paraId="3B6404E3">
      <w:pPr>
        <w:spacing w:line="560" w:lineRule="exact"/>
        <w:ind w:firstLine="636" w:firstLineChars="200"/>
        <w:rPr>
          <w:rFonts w:hint="eastAsia" w:ascii="仿宋" w:hAnsi="仿宋" w:eastAsia="仿宋" w:cs="仿宋"/>
          <w:b/>
          <w:bCs/>
          <w:szCs w:val="32"/>
        </w:rPr>
      </w:pPr>
      <w:r>
        <w:rPr>
          <w:rFonts w:hint="eastAsia" w:ascii="仿宋_GB2312" w:hAnsi="宋体"/>
          <w:b/>
          <w:bCs/>
          <w:szCs w:val="32"/>
        </w:rPr>
        <w:t>1.加强组织领导。</w:t>
      </w:r>
      <w:r>
        <w:rPr>
          <w:rFonts w:hint="eastAsia" w:ascii="仿宋_GB2312" w:hAnsi="仿宋_GB2312" w:eastAsia="仿宋_GB2312" w:cs="仿宋_GB2312"/>
          <w:b/>
          <w:szCs w:val="32"/>
        </w:rPr>
        <w:t>一是建立政务公开协调机制。</w:t>
      </w:r>
      <w:r>
        <w:rPr>
          <w:rFonts w:hint="eastAsia" w:ascii="仿宋_GB2312" w:hAnsi="仿宋_GB2312" w:cs="仿宋_GB2312"/>
        </w:rPr>
        <w:t>成立与政府信息公开为一体的政务公开领导小组，将政务公开工作纳入重要议事日程,主要负责人亲自抓，分管负责人具体抓，依托厅办公室开展日常运作，并指派三名工作人员具体承担政务公开、政府信息公开工作。不断完善政务公开工作机制，加强政务公开机构建设、专职人员配备和经费保障。</w:t>
      </w:r>
      <w:r>
        <w:rPr>
          <w:rFonts w:hint="eastAsia" w:ascii="仿宋_GB2312" w:hAnsi="仿宋_GB2312" w:eastAsia="仿宋_GB2312" w:cs="仿宋_GB2312"/>
          <w:b/>
          <w:szCs w:val="32"/>
        </w:rPr>
        <w:t>二是将政务公开工作纳入绩效考核体系。</w:t>
      </w:r>
      <w:r>
        <w:rPr>
          <w:rFonts w:hint="eastAsia" w:ascii="仿宋_GB2312" w:hAnsi="仿宋_GB2312" w:cs="仿宋_GB2312"/>
          <w:szCs w:val="32"/>
        </w:rPr>
        <w:t>将政务公开工作纳入厅内部绩效考评，对</w:t>
      </w:r>
      <w:r>
        <w:rPr>
          <w:rFonts w:hint="eastAsia" w:ascii="仿宋_GB2312"/>
          <w:szCs w:val="32"/>
        </w:rPr>
        <w:t>未按规定时限及时答复依申请公开、未按时公开主动公开文件、未按要求进行政策解读的，进行扣分，</w:t>
      </w:r>
      <w:r>
        <w:rPr>
          <w:rFonts w:hint="eastAsia" w:ascii="仿宋_GB2312" w:hAnsi="仿宋_GB2312" w:cs="仿宋_GB2312"/>
          <w:szCs w:val="32"/>
        </w:rPr>
        <w:t>内部绩效</w:t>
      </w:r>
      <w:r>
        <w:rPr>
          <w:rFonts w:hint="eastAsia" w:ascii="仿宋_GB2312"/>
          <w:szCs w:val="32"/>
        </w:rPr>
        <w:t>考评结果作为干部使用、年度考核和评先评优的重要依据。</w:t>
      </w:r>
      <w:r>
        <w:rPr>
          <w:rFonts w:hint="eastAsia" w:ascii="仿宋_GB2312" w:hAnsi="仿宋_GB2312" w:eastAsia="仿宋_GB2312" w:cs="仿宋_GB2312"/>
          <w:b/>
          <w:szCs w:val="32"/>
        </w:rPr>
        <w:t>三是印发政务公开工作要点。</w:t>
      </w:r>
      <w:r>
        <w:rPr>
          <w:rFonts w:hint="eastAsia" w:ascii="仿宋_GB2312"/>
          <w:szCs w:val="32"/>
        </w:rPr>
        <w:t>制定下发《关于印发&lt;2019年政务公开工作主要任务分解表&gt;的通知》，要求各处室、单位细化职责分工，抓好贯彻落实。同时厅办公室进一步</w:t>
      </w:r>
      <w:r>
        <w:rPr>
          <w:rFonts w:hint="eastAsia" w:ascii="仿宋_GB2312" w:hAnsi="宋体"/>
          <w:szCs w:val="32"/>
        </w:rPr>
        <w:t>加强对处室、单位政务公开工作的指导，也加大督促落实力度。</w:t>
      </w:r>
      <w:r>
        <w:rPr>
          <w:rFonts w:hint="eastAsia" w:ascii="仿宋_GB2312" w:hAnsi="宋体"/>
          <w:b/>
          <w:bCs/>
          <w:szCs w:val="32"/>
        </w:rPr>
        <w:t>四是</w:t>
      </w:r>
      <w:r>
        <w:rPr>
          <w:rFonts w:hint="eastAsia" w:ascii="仿宋_GB2312"/>
          <w:b/>
          <w:bCs/>
          <w:szCs w:val="32"/>
        </w:rPr>
        <w:t>建立行政规章和规范性文件公开台帐，</w:t>
      </w:r>
      <w:r>
        <w:rPr>
          <w:rFonts w:hint="eastAsia" w:ascii="仿宋_GB2312" w:hAnsi="仿宋_GB2312" w:cs="仿宋_GB2312"/>
          <w:szCs w:val="32"/>
        </w:rPr>
        <w:t>结合我厅实际，制定下发《关于进一步加强行政规范性文件合法性审核工作的通知》（闽人社办〔2019〕156号），并在OA办公系统上开设规范性文件合法性审核专门通道，加强对规范性文件合法性审核工作的动态管理。</w:t>
      </w:r>
    </w:p>
    <w:p w14:paraId="5C4D18E9">
      <w:pPr>
        <w:spacing w:line="560" w:lineRule="exact"/>
        <w:ind w:firstLine="636" w:firstLineChars="200"/>
        <w:rPr>
          <w:rFonts w:hint="eastAsia" w:ascii="仿宋_GB2312" w:hAnsi="宋体"/>
          <w:szCs w:val="32"/>
          <w:u w:val="none"/>
        </w:rPr>
      </w:pPr>
      <w:r>
        <w:rPr>
          <w:rFonts w:hint="eastAsia" w:ascii="仿宋_GB2312" w:hAnsi="仿宋_GB2312" w:eastAsia="仿宋_GB2312" w:cs="仿宋_GB2312"/>
          <w:b/>
          <w:bCs/>
          <w:szCs w:val="32"/>
        </w:rPr>
        <w:t>2.加强《条例》宣传。</w:t>
      </w:r>
      <w:r>
        <w:rPr>
          <w:rFonts w:hint="eastAsia" w:ascii="仿宋_GB2312" w:hAnsi="宋体"/>
          <w:szCs w:val="32"/>
        </w:rPr>
        <w:t>及时在厅门户网站上发布新修订的</w:t>
      </w:r>
      <w:r>
        <w:rPr>
          <w:rFonts w:ascii="仿宋_GB2312" w:hAnsi="宋体"/>
          <w:szCs w:val="32"/>
        </w:rPr>
        <w:t>《中华人民共和国政府信息公开条例》</w:t>
      </w:r>
      <w:r>
        <w:rPr>
          <w:rFonts w:hint="eastAsia" w:ascii="仿宋_GB2312" w:hAnsi="宋体"/>
          <w:szCs w:val="32"/>
        </w:rPr>
        <w:t>以及权威政策解读，加强宣传力度，确保有序衔接、平稳过渡</w:t>
      </w:r>
      <w:r>
        <w:rPr>
          <w:rFonts w:hint="eastAsia" w:ascii="仿宋_GB2312" w:hAnsi="宋体"/>
          <w:szCs w:val="32"/>
          <w:u w:val="none"/>
        </w:rPr>
        <w:t>。加强对工作人员的培训力度，确保准确把握新条例各项规定。</w:t>
      </w:r>
    </w:p>
    <w:p w14:paraId="2FA22150">
      <w:pPr>
        <w:pStyle w:val="9"/>
        <w:spacing w:line="560" w:lineRule="exact"/>
        <w:ind w:firstLine="636"/>
        <w:rPr>
          <w:rFonts w:hint="eastAsia" w:ascii="仿宋_GB2312" w:hAnsi="宋体" w:eastAsia="仿宋_GB2312"/>
          <w:kern w:val="2"/>
          <w:szCs w:val="32"/>
          <w:u w:val="none"/>
        </w:rPr>
      </w:pPr>
      <w:r>
        <w:rPr>
          <w:rFonts w:hint="eastAsia" w:ascii="仿宋_GB2312" w:hAnsi="仿宋_GB2312" w:eastAsia="仿宋_GB2312" w:cs="仿宋_GB2312"/>
          <w:b/>
          <w:szCs w:val="32"/>
          <w:u w:val="none"/>
        </w:rPr>
        <w:t>3.完善工作制度。</w:t>
      </w:r>
      <w:r>
        <w:rPr>
          <w:rFonts w:hint="eastAsia" w:ascii="仿宋_GB2312" w:hAnsi="宋体" w:eastAsia="仿宋_GB2312"/>
          <w:kern w:val="2"/>
          <w:szCs w:val="32"/>
          <w:u w:val="none"/>
        </w:rPr>
        <w:t>近年来出台了《福建省人力资源和社会保障厅政府信息公开暂行办法》《福建省人力资源和社会保障厅政府信息主动公开制度》《福建省人力资源和社会保障厅依申请公开政府信息制度》《福建省人力资源和社会保障厅政府信息公开考核管理制度》《福建省人力资源和社会保障厅政府信息公开社会评议制度》《福建省人力资源和社会保障厅政府信息公开责任追究规定》《福建省人力资源和社会保障厅政府信息公开保密审查规定》等制度</w:t>
      </w:r>
      <w:r>
        <w:rPr>
          <w:rFonts w:hint="eastAsia" w:ascii="仿宋_GB2312" w:hAnsi="宋体" w:eastAsia="仿宋_GB2312"/>
          <w:kern w:val="2"/>
          <w:szCs w:val="32"/>
          <w:u w:val="none"/>
          <w:lang w:eastAsia="zh-CN"/>
        </w:rPr>
        <w:t>，认真贯彻落实各项规定</w:t>
      </w:r>
      <w:r>
        <w:rPr>
          <w:rFonts w:hint="eastAsia" w:ascii="仿宋_GB2312" w:hAnsi="宋体" w:eastAsia="仿宋_GB2312"/>
          <w:kern w:val="2"/>
          <w:szCs w:val="32"/>
          <w:u w:val="none"/>
        </w:rPr>
        <w:t>。根据新修订的</w:t>
      </w:r>
      <w:r>
        <w:rPr>
          <w:rFonts w:ascii="仿宋_GB2312" w:hAnsi="宋体" w:eastAsia="仿宋_GB2312"/>
          <w:kern w:val="2"/>
          <w:szCs w:val="32"/>
          <w:u w:val="none"/>
        </w:rPr>
        <w:t>《中华人民共和国政府信息公开条例》</w:t>
      </w:r>
      <w:r>
        <w:rPr>
          <w:rFonts w:hint="eastAsia" w:ascii="仿宋_GB2312" w:hAnsi="宋体" w:eastAsia="仿宋_GB2312"/>
          <w:kern w:val="2"/>
          <w:szCs w:val="32"/>
          <w:u w:val="none"/>
        </w:rPr>
        <w:t>，及时更新完善政府信息公开指南等相关配套措施，全面梳理应当主动公开的政府信息，建立健全政府信息公开申请登记、审核、办理、答复、归档等流程，确保各项工作落实到位。</w:t>
      </w:r>
    </w:p>
    <w:p w14:paraId="0480F7FE">
      <w:pPr>
        <w:spacing w:line="560" w:lineRule="exact"/>
        <w:ind w:firstLine="636" w:firstLineChars="200"/>
        <w:rPr>
          <w:rFonts w:hint="eastAsia" w:ascii="仿宋_GB2312" w:hAnsi="宋体"/>
          <w:szCs w:val="32"/>
        </w:rPr>
      </w:pPr>
      <w:r>
        <w:rPr>
          <w:rFonts w:hint="eastAsia" w:ascii="仿宋_GB2312" w:hAnsi="宋体"/>
          <w:b/>
          <w:bCs/>
          <w:szCs w:val="32"/>
        </w:rPr>
        <w:t>4.加强保密审查。</w:t>
      </w:r>
      <w:r>
        <w:rPr>
          <w:rFonts w:hint="eastAsia" w:ascii="仿宋_GB2312" w:hAnsi="宋体"/>
          <w:szCs w:val="32"/>
        </w:rPr>
        <w:t>完善主动公开、依申请公开文件保密审查制度建设，健全审查制度和工作规程，对拟公开的政府信息进行严格依法审查。</w:t>
      </w:r>
    </w:p>
    <w:p w14:paraId="6F142383">
      <w:pPr>
        <w:spacing w:line="560" w:lineRule="exact"/>
        <w:ind w:firstLine="636" w:firstLineChars="200"/>
        <w:rPr>
          <w:rFonts w:hint="eastAsia" w:ascii="仿宋_GB2312" w:hAnsi="宋体"/>
          <w:szCs w:val="32"/>
        </w:rPr>
      </w:pPr>
      <w:r>
        <w:rPr>
          <w:rFonts w:hint="eastAsia" w:ascii="仿宋_GB2312" w:hAnsi="宋体"/>
          <w:b/>
          <w:bCs/>
          <w:szCs w:val="32"/>
        </w:rPr>
        <w:t>5.规范事业单位信息公开。</w:t>
      </w:r>
      <w:r>
        <w:rPr>
          <w:rFonts w:hint="eastAsia" w:ascii="仿宋_GB2312" w:hAnsi="宋体"/>
          <w:szCs w:val="32"/>
        </w:rPr>
        <w:t>制定完善《福建省机关事业社会保险中心新媒体信息发布制度》《福建省社会劳动保险局微信、手机APP及网上公共服务系统管理办法》《福建省大中专毕业生就业工作办公室信息安全管理制度》《福建省毕业生就业公共网安全应急处置预案》等规定，规范公开信息发布管理，不断提高政务公开水平。</w:t>
      </w:r>
    </w:p>
    <w:p w14:paraId="708207A4">
      <w:pPr>
        <w:pStyle w:val="5"/>
        <w:widowControl/>
        <w:spacing w:before="0" w:beforeAutospacing="0" w:after="0" w:afterAutospacing="0" w:line="560" w:lineRule="exact"/>
        <w:ind w:left="0" w:firstLine="636" w:firstLineChars="200"/>
        <w:jc w:val="both"/>
        <w:rPr>
          <w:rFonts w:hint="eastAsia" w:ascii="黑体" w:hAnsi="黑体" w:eastAsia="黑体" w:cs="黑体"/>
          <w:sz w:val="32"/>
          <w:szCs w:val="32"/>
        </w:rPr>
      </w:pPr>
      <w:r>
        <w:rPr>
          <w:rFonts w:hint="eastAsia" w:ascii="黑体" w:hAnsi="黑体" w:eastAsia="黑体" w:cs="黑体"/>
          <w:sz w:val="32"/>
          <w:szCs w:val="32"/>
        </w:rPr>
        <w:t>二、主动公开政府信息情况</w:t>
      </w:r>
    </w:p>
    <w:p w14:paraId="58F1810A">
      <w:pPr>
        <w:pStyle w:val="5"/>
        <w:widowControl/>
        <w:spacing w:before="0" w:beforeAutospacing="0" w:after="0" w:afterAutospacing="0" w:line="560" w:lineRule="exact"/>
        <w:ind w:left="420" w:firstLine="318" w:firstLineChars="100"/>
        <w:jc w:val="both"/>
        <w:rPr>
          <w:rFonts w:hint="eastAsia" w:ascii="黑体" w:hAnsi="黑体" w:eastAsia="黑体" w:cs="黑体"/>
          <w:sz w:val="32"/>
          <w:szCs w:val="32"/>
        </w:rPr>
      </w:pPr>
    </w:p>
    <w:tbl>
      <w:tblPr>
        <w:tblStyle w:val="6"/>
        <w:tblpPr w:leftFromText="180" w:rightFromText="180" w:vertAnchor="text" w:horzAnchor="page" w:tblpX="2025" w:tblpY="265"/>
        <w:tblOverlap w:val="never"/>
        <w:tblW w:w="7780" w:type="dxa"/>
        <w:tblInd w:w="0" w:type="dxa"/>
        <w:tblLayout w:type="fixed"/>
        <w:tblCellMar>
          <w:top w:w="0" w:type="dxa"/>
          <w:left w:w="108" w:type="dxa"/>
          <w:bottom w:w="0" w:type="dxa"/>
          <w:right w:w="108" w:type="dxa"/>
        </w:tblCellMar>
      </w:tblPr>
      <w:tblGrid>
        <w:gridCol w:w="1934"/>
        <w:gridCol w:w="1021"/>
        <w:gridCol w:w="6"/>
        <w:gridCol w:w="1607"/>
        <w:gridCol w:w="122"/>
        <w:gridCol w:w="3090"/>
      </w:tblGrid>
      <w:tr w14:paraId="16E23A02">
        <w:tblPrEx>
          <w:tblCellMar>
            <w:top w:w="0" w:type="dxa"/>
            <w:left w:w="108" w:type="dxa"/>
            <w:bottom w:w="0" w:type="dxa"/>
            <w:right w:w="108" w:type="dxa"/>
          </w:tblCellMar>
        </w:tblPrEx>
        <w:trPr>
          <w:trHeight w:val="515" w:hRule="atLeast"/>
        </w:trPr>
        <w:tc>
          <w:tcPr>
            <w:tcW w:w="7780" w:type="dxa"/>
            <w:gridSpan w:val="6"/>
            <w:tcBorders>
              <w:top w:val="single" w:color="auto" w:sz="4" w:space="0"/>
              <w:left w:val="single" w:color="auto" w:sz="4" w:space="0"/>
              <w:bottom w:val="single" w:color="auto" w:sz="4" w:space="0"/>
              <w:right w:val="single" w:color="auto" w:sz="4" w:space="0"/>
            </w:tcBorders>
            <w:shd w:val="clear" w:color="auto" w:fill="C6D9F1"/>
            <w:vAlign w:val="center"/>
          </w:tcPr>
          <w:p w14:paraId="779E052C">
            <w:pPr>
              <w:widowControl/>
              <w:spacing w:after="100" w:afterAutospacing="1" w:line="340" w:lineRule="exact"/>
              <w:jc w:val="center"/>
              <w:rPr>
                <w:szCs w:val="32"/>
              </w:rPr>
            </w:pPr>
            <w:r>
              <w:rPr>
                <w:rFonts w:hint="eastAsia" w:ascii="宋体" w:hAnsi="宋体" w:eastAsia="宋体" w:cs="宋体"/>
                <w:kern w:val="0"/>
                <w:sz w:val="20"/>
                <w:szCs w:val="20"/>
                <w:lang w:bidi="ar"/>
              </w:rPr>
              <w:t>第二十条第（一）项</w:t>
            </w:r>
          </w:p>
        </w:tc>
      </w:tr>
      <w:tr w14:paraId="2E070BF8">
        <w:tblPrEx>
          <w:tblCellMar>
            <w:top w:w="0" w:type="dxa"/>
            <w:left w:w="108" w:type="dxa"/>
            <w:bottom w:w="0" w:type="dxa"/>
            <w:right w:w="108" w:type="dxa"/>
          </w:tblCellMar>
        </w:tblPrEx>
        <w:trPr>
          <w:trHeight w:val="880" w:hRule="atLeast"/>
        </w:trPr>
        <w:tc>
          <w:tcPr>
            <w:tcW w:w="1934" w:type="dxa"/>
            <w:tcBorders>
              <w:top w:val="nil"/>
              <w:left w:val="single" w:color="auto" w:sz="4" w:space="0"/>
              <w:bottom w:val="single" w:color="auto" w:sz="4" w:space="0"/>
              <w:right w:val="single" w:color="auto" w:sz="4" w:space="0"/>
            </w:tcBorders>
            <w:vAlign w:val="center"/>
          </w:tcPr>
          <w:p w14:paraId="346DDA96">
            <w:pPr>
              <w:widowControl/>
              <w:spacing w:line="340" w:lineRule="exact"/>
              <w:jc w:val="center"/>
              <w:rPr>
                <w:szCs w:val="32"/>
              </w:rPr>
            </w:pPr>
            <w:r>
              <w:rPr>
                <w:rFonts w:hint="eastAsia" w:ascii="宋体" w:hAnsi="宋体" w:eastAsia="宋体" w:cs="宋体"/>
                <w:kern w:val="0"/>
                <w:sz w:val="20"/>
                <w:szCs w:val="20"/>
                <w:lang w:bidi="ar"/>
              </w:rPr>
              <w:t>信息内容</w:t>
            </w:r>
          </w:p>
        </w:tc>
        <w:tc>
          <w:tcPr>
            <w:tcW w:w="1021" w:type="dxa"/>
            <w:tcBorders>
              <w:top w:val="single" w:color="auto" w:sz="4" w:space="0"/>
              <w:left w:val="nil"/>
              <w:bottom w:val="single" w:color="auto" w:sz="4" w:space="0"/>
              <w:right w:val="single" w:color="auto" w:sz="4" w:space="0"/>
            </w:tcBorders>
            <w:vAlign w:val="center"/>
          </w:tcPr>
          <w:p w14:paraId="1E143466">
            <w:pPr>
              <w:widowControl/>
              <w:spacing w:line="340" w:lineRule="exact"/>
              <w:jc w:val="center"/>
              <w:rPr>
                <w:szCs w:val="32"/>
              </w:rPr>
            </w:pPr>
            <w:r>
              <w:rPr>
                <w:rFonts w:hint="eastAsia" w:ascii="宋体" w:hAnsi="宋体" w:eastAsia="宋体" w:cs="宋体"/>
                <w:kern w:val="0"/>
                <w:sz w:val="20"/>
                <w:szCs w:val="20"/>
                <w:lang w:bidi="ar"/>
              </w:rPr>
              <w:t>本年新</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制作数量</w:t>
            </w:r>
          </w:p>
        </w:tc>
        <w:tc>
          <w:tcPr>
            <w:tcW w:w="1735" w:type="dxa"/>
            <w:gridSpan w:val="3"/>
            <w:tcBorders>
              <w:top w:val="single" w:color="auto" w:sz="4" w:space="0"/>
              <w:left w:val="nil"/>
              <w:bottom w:val="single" w:color="auto" w:sz="4" w:space="0"/>
              <w:right w:val="single" w:color="auto" w:sz="4" w:space="0"/>
            </w:tcBorders>
            <w:vAlign w:val="center"/>
          </w:tcPr>
          <w:p w14:paraId="4D301B9B">
            <w:pPr>
              <w:widowControl/>
              <w:spacing w:line="340" w:lineRule="exact"/>
              <w:jc w:val="center"/>
              <w:rPr>
                <w:szCs w:val="32"/>
              </w:rPr>
            </w:pPr>
            <w:r>
              <w:rPr>
                <w:rFonts w:hint="eastAsia" w:ascii="宋体" w:hAnsi="宋体" w:eastAsia="宋体" w:cs="宋体"/>
                <w:kern w:val="0"/>
                <w:sz w:val="20"/>
                <w:szCs w:val="20"/>
                <w:lang w:bidi="ar"/>
              </w:rPr>
              <w:t>本年新</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公开数量</w:t>
            </w:r>
          </w:p>
        </w:tc>
        <w:tc>
          <w:tcPr>
            <w:tcW w:w="3090" w:type="dxa"/>
            <w:tcBorders>
              <w:top w:val="nil"/>
              <w:left w:val="nil"/>
              <w:bottom w:val="single" w:color="auto" w:sz="4" w:space="0"/>
              <w:right w:val="single" w:color="auto" w:sz="4" w:space="0"/>
            </w:tcBorders>
            <w:vAlign w:val="center"/>
          </w:tcPr>
          <w:p w14:paraId="2C9949D1">
            <w:pPr>
              <w:widowControl/>
              <w:spacing w:line="340" w:lineRule="exact"/>
              <w:jc w:val="center"/>
              <w:rPr>
                <w:szCs w:val="32"/>
              </w:rPr>
            </w:pPr>
            <w:r>
              <w:rPr>
                <w:rFonts w:hint="eastAsia" w:ascii="宋体" w:hAnsi="宋体" w:eastAsia="宋体" w:cs="宋体"/>
                <w:kern w:val="0"/>
                <w:sz w:val="20"/>
                <w:szCs w:val="20"/>
                <w:lang w:bidi="ar"/>
              </w:rPr>
              <w:t>对外公开总数量</w:t>
            </w:r>
          </w:p>
        </w:tc>
      </w:tr>
      <w:tr w14:paraId="7C027ADD">
        <w:tblPrEx>
          <w:tblCellMar>
            <w:top w:w="0" w:type="dxa"/>
            <w:left w:w="108" w:type="dxa"/>
            <w:bottom w:w="0" w:type="dxa"/>
            <w:right w:w="108" w:type="dxa"/>
          </w:tblCellMar>
        </w:tblPrEx>
        <w:trPr>
          <w:trHeight w:val="418" w:hRule="atLeast"/>
        </w:trPr>
        <w:tc>
          <w:tcPr>
            <w:tcW w:w="1934" w:type="dxa"/>
            <w:tcBorders>
              <w:top w:val="nil"/>
              <w:left w:val="single" w:color="auto" w:sz="4" w:space="0"/>
              <w:bottom w:val="single" w:color="auto" w:sz="4" w:space="0"/>
              <w:right w:val="single" w:color="auto" w:sz="4" w:space="0"/>
            </w:tcBorders>
            <w:vAlign w:val="center"/>
          </w:tcPr>
          <w:p w14:paraId="3920B3D4">
            <w:pPr>
              <w:widowControl/>
              <w:spacing w:line="340" w:lineRule="exact"/>
              <w:jc w:val="left"/>
              <w:rPr>
                <w:szCs w:val="32"/>
              </w:rPr>
            </w:pPr>
            <w:r>
              <w:rPr>
                <w:rFonts w:hint="eastAsia" w:ascii="宋体" w:hAnsi="宋体" w:eastAsia="宋体" w:cs="宋体"/>
                <w:kern w:val="0"/>
                <w:sz w:val="20"/>
                <w:szCs w:val="20"/>
                <w:lang w:bidi="ar"/>
              </w:rPr>
              <w:t>规章</w:t>
            </w:r>
          </w:p>
        </w:tc>
        <w:tc>
          <w:tcPr>
            <w:tcW w:w="1021" w:type="dxa"/>
            <w:tcBorders>
              <w:top w:val="single" w:color="auto" w:sz="4" w:space="0"/>
              <w:left w:val="nil"/>
              <w:bottom w:val="single" w:color="auto" w:sz="4" w:space="0"/>
              <w:right w:val="single" w:color="auto" w:sz="4" w:space="0"/>
            </w:tcBorders>
            <w:vAlign w:val="center"/>
          </w:tcPr>
          <w:p w14:paraId="655E0724">
            <w:pPr>
              <w:widowControl/>
              <w:spacing w:line="340" w:lineRule="exact"/>
              <w:jc w:val="center"/>
              <w:rPr>
                <w:szCs w:val="32"/>
              </w:rPr>
            </w:pPr>
            <w:r>
              <w:rPr>
                <w:rFonts w:hint="eastAsia" w:ascii="宋体" w:hAnsi="宋体" w:cs="宋体"/>
                <w:kern w:val="0"/>
                <w:sz w:val="20"/>
                <w:szCs w:val="20"/>
                <w:lang w:bidi="ar"/>
              </w:rPr>
              <w:t>0</w:t>
            </w:r>
          </w:p>
        </w:tc>
        <w:tc>
          <w:tcPr>
            <w:tcW w:w="1735" w:type="dxa"/>
            <w:gridSpan w:val="3"/>
            <w:tcBorders>
              <w:top w:val="single" w:color="auto" w:sz="4" w:space="0"/>
              <w:left w:val="nil"/>
              <w:bottom w:val="single" w:color="auto" w:sz="4" w:space="0"/>
              <w:right w:val="single" w:color="auto" w:sz="4" w:space="0"/>
            </w:tcBorders>
            <w:vAlign w:val="center"/>
          </w:tcPr>
          <w:p w14:paraId="636EE8D6">
            <w:pPr>
              <w:widowControl/>
              <w:spacing w:line="340" w:lineRule="exact"/>
              <w:jc w:val="center"/>
              <w:rPr>
                <w:szCs w:val="32"/>
              </w:rPr>
            </w:pPr>
            <w:r>
              <w:rPr>
                <w:rFonts w:hint="eastAsia" w:ascii="宋体"/>
                <w:kern w:val="0"/>
                <w:sz w:val="20"/>
                <w:szCs w:val="20"/>
                <w:lang w:bidi="ar"/>
              </w:rPr>
              <w:t>0</w:t>
            </w:r>
          </w:p>
        </w:tc>
        <w:tc>
          <w:tcPr>
            <w:tcW w:w="3090" w:type="dxa"/>
            <w:tcBorders>
              <w:top w:val="nil"/>
              <w:left w:val="nil"/>
              <w:bottom w:val="single" w:color="auto" w:sz="4" w:space="0"/>
              <w:right w:val="single" w:color="auto" w:sz="4" w:space="0"/>
            </w:tcBorders>
            <w:vAlign w:val="center"/>
          </w:tcPr>
          <w:p w14:paraId="5FC5D3E6">
            <w:pPr>
              <w:widowControl/>
              <w:spacing w:line="340" w:lineRule="exact"/>
              <w:jc w:val="center"/>
              <w:rPr>
                <w:szCs w:val="32"/>
              </w:rPr>
            </w:pPr>
            <w:r>
              <w:rPr>
                <w:rFonts w:hint="eastAsia" w:ascii="宋体" w:hAnsi="宋体" w:cs="宋体"/>
                <w:kern w:val="0"/>
                <w:sz w:val="20"/>
                <w:szCs w:val="20"/>
                <w:lang w:bidi="ar"/>
              </w:rPr>
              <w:t>0</w:t>
            </w:r>
          </w:p>
        </w:tc>
      </w:tr>
      <w:tr w14:paraId="3F4B3828">
        <w:tblPrEx>
          <w:tblCellMar>
            <w:top w:w="0" w:type="dxa"/>
            <w:left w:w="108" w:type="dxa"/>
            <w:bottom w:w="0" w:type="dxa"/>
            <w:right w:w="108" w:type="dxa"/>
          </w:tblCellMar>
        </w:tblPrEx>
        <w:trPr>
          <w:trHeight w:val="373" w:hRule="atLeast"/>
        </w:trPr>
        <w:tc>
          <w:tcPr>
            <w:tcW w:w="1934" w:type="dxa"/>
            <w:tcBorders>
              <w:top w:val="nil"/>
              <w:left w:val="single" w:color="auto" w:sz="4" w:space="0"/>
              <w:bottom w:val="single" w:color="auto" w:sz="4" w:space="0"/>
              <w:right w:val="single" w:color="auto" w:sz="4" w:space="0"/>
            </w:tcBorders>
            <w:vAlign w:val="center"/>
          </w:tcPr>
          <w:p w14:paraId="2D50C25B">
            <w:pPr>
              <w:widowControl/>
              <w:spacing w:line="340" w:lineRule="exact"/>
              <w:jc w:val="left"/>
              <w:rPr>
                <w:szCs w:val="32"/>
              </w:rPr>
            </w:pPr>
            <w:r>
              <w:rPr>
                <w:rFonts w:hint="eastAsia" w:ascii="宋体" w:hAnsi="宋体" w:eastAsia="宋体" w:cs="宋体"/>
                <w:kern w:val="0"/>
                <w:sz w:val="20"/>
                <w:szCs w:val="20"/>
                <w:lang w:bidi="ar"/>
              </w:rPr>
              <w:t>规范性文件</w:t>
            </w:r>
          </w:p>
        </w:tc>
        <w:tc>
          <w:tcPr>
            <w:tcW w:w="1021" w:type="dxa"/>
            <w:tcBorders>
              <w:top w:val="nil"/>
              <w:left w:val="nil"/>
              <w:bottom w:val="single" w:color="auto" w:sz="4" w:space="0"/>
              <w:right w:val="single" w:color="auto" w:sz="4" w:space="0"/>
            </w:tcBorders>
            <w:vAlign w:val="center"/>
          </w:tcPr>
          <w:p w14:paraId="6593250C">
            <w:pPr>
              <w:widowControl/>
              <w:spacing w:line="340" w:lineRule="exact"/>
              <w:jc w:val="center"/>
              <w:rPr>
                <w:szCs w:val="32"/>
              </w:rPr>
            </w:pPr>
            <w:r>
              <w:rPr>
                <w:rFonts w:hint="eastAsia" w:ascii="宋体" w:hAnsi="宋体" w:cs="宋体"/>
                <w:kern w:val="0"/>
                <w:sz w:val="20"/>
                <w:szCs w:val="20"/>
                <w:lang w:bidi="ar"/>
              </w:rPr>
              <w:t>7</w:t>
            </w:r>
          </w:p>
        </w:tc>
        <w:tc>
          <w:tcPr>
            <w:tcW w:w="1735" w:type="dxa"/>
            <w:gridSpan w:val="3"/>
            <w:tcBorders>
              <w:top w:val="nil"/>
              <w:left w:val="nil"/>
              <w:bottom w:val="single" w:color="auto" w:sz="4" w:space="0"/>
              <w:right w:val="single" w:color="auto" w:sz="4" w:space="0"/>
            </w:tcBorders>
            <w:vAlign w:val="center"/>
          </w:tcPr>
          <w:p w14:paraId="00280C1E">
            <w:pPr>
              <w:widowControl/>
              <w:spacing w:line="340" w:lineRule="exact"/>
              <w:jc w:val="center"/>
              <w:rPr>
                <w:szCs w:val="32"/>
              </w:rPr>
            </w:pPr>
            <w:r>
              <w:rPr>
                <w:rFonts w:hint="eastAsia" w:ascii="宋体"/>
                <w:kern w:val="0"/>
                <w:sz w:val="20"/>
                <w:szCs w:val="20"/>
                <w:lang w:bidi="ar"/>
              </w:rPr>
              <w:t>7</w:t>
            </w:r>
          </w:p>
        </w:tc>
        <w:tc>
          <w:tcPr>
            <w:tcW w:w="3090" w:type="dxa"/>
            <w:tcBorders>
              <w:top w:val="nil"/>
              <w:left w:val="nil"/>
              <w:bottom w:val="single" w:color="auto" w:sz="4" w:space="0"/>
              <w:right w:val="single" w:color="auto" w:sz="4" w:space="0"/>
            </w:tcBorders>
            <w:vAlign w:val="center"/>
          </w:tcPr>
          <w:p w14:paraId="326D3BD6">
            <w:pPr>
              <w:widowControl/>
              <w:spacing w:line="340" w:lineRule="exact"/>
              <w:jc w:val="center"/>
              <w:rPr>
                <w:szCs w:val="32"/>
              </w:rPr>
            </w:pPr>
            <w:r>
              <w:rPr>
                <w:rFonts w:hint="eastAsia" w:ascii="宋体" w:hAnsi="宋体" w:cs="宋体"/>
                <w:kern w:val="0"/>
                <w:sz w:val="20"/>
                <w:szCs w:val="20"/>
                <w:lang w:bidi="ar"/>
              </w:rPr>
              <w:t>7</w:t>
            </w:r>
          </w:p>
        </w:tc>
      </w:tr>
      <w:tr w14:paraId="4E4EBFD5">
        <w:tblPrEx>
          <w:tblCellMar>
            <w:top w:w="0" w:type="dxa"/>
            <w:left w:w="108" w:type="dxa"/>
            <w:bottom w:w="0" w:type="dxa"/>
            <w:right w:w="108" w:type="dxa"/>
          </w:tblCellMar>
        </w:tblPrEx>
        <w:trPr>
          <w:trHeight w:val="468" w:hRule="atLeast"/>
        </w:trPr>
        <w:tc>
          <w:tcPr>
            <w:tcW w:w="7780" w:type="dxa"/>
            <w:gridSpan w:val="6"/>
            <w:tcBorders>
              <w:top w:val="single" w:color="auto" w:sz="4" w:space="0"/>
              <w:left w:val="single" w:color="auto" w:sz="4" w:space="0"/>
              <w:bottom w:val="single" w:color="auto" w:sz="4" w:space="0"/>
              <w:right w:val="single" w:color="auto" w:sz="4" w:space="0"/>
            </w:tcBorders>
            <w:shd w:val="clear" w:color="auto" w:fill="C6D9F1"/>
            <w:vAlign w:val="center"/>
          </w:tcPr>
          <w:p w14:paraId="65429D4A">
            <w:pPr>
              <w:widowControl/>
              <w:spacing w:line="340" w:lineRule="exact"/>
              <w:jc w:val="center"/>
              <w:rPr>
                <w:szCs w:val="32"/>
              </w:rPr>
            </w:pPr>
            <w:r>
              <w:rPr>
                <w:rFonts w:hint="eastAsia" w:ascii="宋体" w:hAnsi="宋体" w:eastAsia="宋体" w:cs="宋体"/>
                <w:kern w:val="0"/>
                <w:sz w:val="20"/>
                <w:szCs w:val="20"/>
                <w:lang w:bidi="ar"/>
              </w:rPr>
              <w:t>第二十条第（五）项</w:t>
            </w:r>
          </w:p>
        </w:tc>
      </w:tr>
      <w:tr w14:paraId="18891D2F">
        <w:tblPrEx>
          <w:tblCellMar>
            <w:top w:w="0" w:type="dxa"/>
            <w:left w:w="108" w:type="dxa"/>
            <w:bottom w:w="0" w:type="dxa"/>
            <w:right w:w="108" w:type="dxa"/>
          </w:tblCellMar>
        </w:tblPrEx>
        <w:trPr>
          <w:trHeight w:val="1000" w:hRule="atLeast"/>
        </w:trPr>
        <w:tc>
          <w:tcPr>
            <w:tcW w:w="1934" w:type="dxa"/>
            <w:tcBorders>
              <w:top w:val="nil"/>
              <w:left w:val="single" w:color="auto" w:sz="4" w:space="0"/>
              <w:bottom w:val="single" w:color="auto" w:sz="4" w:space="0"/>
              <w:right w:val="single" w:color="auto" w:sz="4" w:space="0"/>
            </w:tcBorders>
            <w:vAlign w:val="center"/>
          </w:tcPr>
          <w:p w14:paraId="2D76FBB1">
            <w:pPr>
              <w:widowControl/>
              <w:spacing w:line="340" w:lineRule="exact"/>
              <w:jc w:val="center"/>
              <w:rPr>
                <w:szCs w:val="32"/>
              </w:rPr>
            </w:pPr>
            <w:r>
              <w:rPr>
                <w:rFonts w:hint="eastAsia" w:ascii="宋体" w:hAnsi="宋体" w:eastAsia="宋体" w:cs="宋体"/>
                <w:kern w:val="0"/>
                <w:sz w:val="20"/>
                <w:szCs w:val="20"/>
                <w:lang w:bidi="ar"/>
              </w:rPr>
              <w:t>信息内容</w:t>
            </w:r>
          </w:p>
        </w:tc>
        <w:tc>
          <w:tcPr>
            <w:tcW w:w="1021" w:type="dxa"/>
            <w:tcBorders>
              <w:top w:val="single" w:color="auto" w:sz="4" w:space="0"/>
              <w:left w:val="nil"/>
              <w:bottom w:val="single" w:color="auto" w:sz="4" w:space="0"/>
              <w:right w:val="single" w:color="auto" w:sz="4" w:space="0"/>
            </w:tcBorders>
            <w:vAlign w:val="center"/>
          </w:tcPr>
          <w:p w14:paraId="3D1AE9E5">
            <w:pPr>
              <w:widowControl/>
              <w:spacing w:line="340" w:lineRule="exact"/>
              <w:jc w:val="center"/>
              <w:rPr>
                <w:szCs w:val="32"/>
              </w:rPr>
            </w:pPr>
            <w:r>
              <w:rPr>
                <w:rFonts w:hint="eastAsia" w:ascii="宋体" w:hAnsi="宋体" w:eastAsia="宋体" w:cs="宋体"/>
                <w:kern w:val="0"/>
                <w:sz w:val="20"/>
                <w:szCs w:val="20"/>
                <w:lang w:bidi="ar"/>
              </w:rPr>
              <w:t>上一年项目数量</w:t>
            </w:r>
          </w:p>
        </w:tc>
        <w:tc>
          <w:tcPr>
            <w:tcW w:w="1613" w:type="dxa"/>
            <w:gridSpan w:val="2"/>
            <w:tcBorders>
              <w:top w:val="single" w:color="auto" w:sz="4" w:space="0"/>
              <w:left w:val="nil"/>
              <w:bottom w:val="single" w:color="auto" w:sz="4" w:space="0"/>
              <w:right w:val="single" w:color="auto" w:sz="4" w:space="0"/>
            </w:tcBorders>
            <w:vAlign w:val="center"/>
          </w:tcPr>
          <w:p w14:paraId="071DEC4B">
            <w:pPr>
              <w:widowControl/>
              <w:spacing w:line="340" w:lineRule="exact"/>
              <w:jc w:val="center"/>
              <w:rPr>
                <w:szCs w:val="32"/>
              </w:rPr>
            </w:pPr>
            <w:r>
              <w:rPr>
                <w:rFonts w:hint="eastAsia" w:ascii="宋体" w:hAnsi="宋体" w:eastAsia="宋体" w:cs="宋体"/>
                <w:kern w:val="0"/>
                <w:sz w:val="20"/>
                <w:szCs w:val="20"/>
                <w:lang w:bidi="ar"/>
              </w:rPr>
              <w:t>本年增/减</w:t>
            </w:r>
          </w:p>
        </w:tc>
        <w:tc>
          <w:tcPr>
            <w:tcW w:w="3212" w:type="dxa"/>
            <w:gridSpan w:val="2"/>
            <w:tcBorders>
              <w:top w:val="nil"/>
              <w:left w:val="nil"/>
              <w:bottom w:val="single" w:color="auto" w:sz="4" w:space="0"/>
              <w:right w:val="single" w:color="auto" w:sz="4" w:space="0"/>
            </w:tcBorders>
            <w:vAlign w:val="center"/>
          </w:tcPr>
          <w:p w14:paraId="095E80C9">
            <w:pPr>
              <w:widowControl/>
              <w:spacing w:line="340" w:lineRule="exact"/>
              <w:jc w:val="center"/>
              <w:rPr>
                <w:szCs w:val="32"/>
              </w:rPr>
            </w:pPr>
            <w:r>
              <w:rPr>
                <w:rFonts w:hint="eastAsia" w:ascii="宋体" w:hAnsi="宋体" w:eastAsia="宋体" w:cs="宋体"/>
                <w:kern w:val="0"/>
                <w:sz w:val="20"/>
                <w:szCs w:val="20"/>
                <w:lang w:bidi="ar"/>
              </w:rPr>
              <w:t>处理决定数量</w:t>
            </w:r>
          </w:p>
        </w:tc>
      </w:tr>
      <w:tr w14:paraId="51FC19FB">
        <w:tblPrEx>
          <w:tblCellMar>
            <w:top w:w="0" w:type="dxa"/>
            <w:left w:w="108" w:type="dxa"/>
            <w:bottom w:w="0" w:type="dxa"/>
            <w:right w:w="108" w:type="dxa"/>
          </w:tblCellMar>
        </w:tblPrEx>
        <w:trPr>
          <w:trHeight w:val="643" w:hRule="atLeast"/>
        </w:trPr>
        <w:tc>
          <w:tcPr>
            <w:tcW w:w="1934" w:type="dxa"/>
            <w:tcBorders>
              <w:top w:val="nil"/>
              <w:left w:val="single" w:color="auto" w:sz="4" w:space="0"/>
              <w:bottom w:val="single" w:color="auto" w:sz="4" w:space="0"/>
              <w:right w:val="single" w:color="auto" w:sz="4" w:space="0"/>
            </w:tcBorders>
            <w:vAlign w:val="center"/>
          </w:tcPr>
          <w:p w14:paraId="7E6FE2FA">
            <w:pPr>
              <w:widowControl/>
              <w:spacing w:line="340" w:lineRule="exact"/>
              <w:jc w:val="left"/>
              <w:rPr>
                <w:szCs w:val="32"/>
              </w:rPr>
            </w:pPr>
            <w:r>
              <w:rPr>
                <w:rFonts w:hint="eastAsia" w:ascii="宋体" w:hAnsi="宋体" w:eastAsia="宋体" w:cs="宋体"/>
                <w:kern w:val="0"/>
                <w:sz w:val="20"/>
                <w:szCs w:val="20"/>
                <w:lang w:bidi="ar"/>
              </w:rPr>
              <w:t>行政许可</w:t>
            </w:r>
          </w:p>
        </w:tc>
        <w:tc>
          <w:tcPr>
            <w:tcW w:w="1027" w:type="dxa"/>
            <w:gridSpan w:val="2"/>
            <w:tcBorders>
              <w:top w:val="nil"/>
              <w:left w:val="nil"/>
              <w:bottom w:val="single" w:color="auto" w:sz="4" w:space="0"/>
              <w:right w:val="single" w:color="auto" w:sz="4" w:space="0"/>
            </w:tcBorders>
            <w:vAlign w:val="center"/>
          </w:tcPr>
          <w:p w14:paraId="00F21122">
            <w:pPr>
              <w:widowControl/>
              <w:spacing w:line="340" w:lineRule="exact"/>
              <w:ind w:firstLine="198" w:firstLineChars="100"/>
              <w:jc w:val="left"/>
              <w:rPr>
                <w:szCs w:val="32"/>
              </w:rPr>
            </w:pPr>
            <w:r>
              <w:rPr>
                <w:rFonts w:hint="eastAsia" w:ascii="宋体" w:hAnsi="宋体" w:eastAsia="宋体" w:cs="宋体"/>
                <w:kern w:val="0"/>
                <w:sz w:val="20"/>
                <w:szCs w:val="20"/>
                <w:lang w:bidi="ar"/>
              </w:rPr>
              <w:t>5　</w:t>
            </w:r>
          </w:p>
        </w:tc>
        <w:tc>
          <w:tcPr>
            <w:tcW w:w="1607" w:type="dxa"/>
            <w:tcBorders>
              <w:top w:val="nil"/>
              <w:left w:val="nil"/>
              <w:bottom w:val="single" w:color="auto" w:sz="4" w:space="0"/>
              <w:right w:val="single" w:color="auto" w:sz="4" w:space="0"/>
            </w:tcBorders>
            <w:vAlign w:val="center"/>
          </w:tcPr>
          <w:p w14:paraId="76B00E0C">
            <w:pPr>
              <w:widowControl/>
              <w:spacing w:line="340" w:lineRule="exact"/>
              <w:jc w:val="left"/>
              <w:rPr>
                <w:szCs w:val="32"/>
              </w:rPr>
            </w:pPr>
            <w:r>
              <w:rPr>
                <w:rFonts w:hint="eastAsia" w:ascii="宋体" w:hAnsi="宋体" w:eastAsia="宋体" w:cs="宋体"/>
                <w:kern w:val="0"/>
                <w:sz w:val="20"/>
                <w:szCs w:val="20"/>
                <w:lang w:bidi="ar"/>
              </w:rPr>
              <w:t>　 0</w:t>
            </w:r>
          </w:p>
        </w:tc>
        <w:tc>
          <w:tcPr>
            <w:tcW w:w="3212" w:type="dxa"/>
            <w:gridSpan w:val="2"/>
            <w:tcBorders>
              <w:top w:val="nil"/>
              <w:left w:val="nil"/>
              <w:bottom w:val="single" w:color="auto" w:sz="4" w:space="0"/>
              <w:right w:val="single" w:color="auto" w:sz="4" w:space="0"/>
            </w:tcBorders>
            <w:vAlign w:val="center"/>
          </w:tcPr>
          <w:p w14:paraId="60A9BC86">
            <w:pPr>
              <w:widowControl/>
              <w:spacing w:line="340" w:lineRule="exact"/>
              <w:jc w:val="left"/>
              <w:rPr>
                <w:rFonts w:hint="eastAsia" w:eastAsia="宋体"/>
                <w:szCs w:val="32"/>
              </w:rPr>
            </w:pPr>
            <w:r>
              <w:rPr>
                <w:rFonts w:hint="eastAsia" w:ascii="宋体" w:hAnsi="宋体" w:eastAsia="宋体" w:cs="宋体"/>
                <w:kern w:val="0"/>
                <w:sz w:val="20"/>
                <w:szCs w:val="20"/>
                <w:lang w:bidi="ar"/>
              </w:rPr>
              <w:t>　     19</w:t>
            </w:r>
          </w:p>
        </w:tc>
      </w:tr>
      <w:tr w14:paraId="1B4F1660">
        <w:tblPrEx>
          <w:tblCellMar>
            <w:top w:w="0" w:type="dxa"/>
            <w:left w:w="108" w:type="dxa"/>
            <w:bottom w:w="0" w:type="dxa"/>
            <w:right w:w="108" w:type="dxa"/>
          </w:tblCellMar>
        </w:tblPrEx>
        <w:trPr>
          <w:trHeight w:val="910" w:hRule="atLeast"/>
        </w:trPr>
        <w:tc>
          <w:tcPr>
            <w:tcW w:w="1934" w:type="dxa"/>
            <w:tcBorders>
              <w:top w:val="nil"/>
              <w:left w:val="single" w:color="auto" w:sz="4" w:space="0"/>
              <w:bottom w:val="single" w:color="auto" w:sz="4" w:space="0"/>
              <w:right w:val="single" w:color="auto" w:sz="4" w:space="0"/>
            </w:tcBorders>
            <w:vAlign w:val="center"/>
          </w:tcPr>
          <w:p w14:paraId="2CCC6106">
            <w:pPr>
              <w:widowControl/>
              <w:spacing w:line="340" w:lineRule="exact"/>
              <w:jc w:val="left"/>
              <w:rPr>
                <w:szCs w:val="32"/>
              </w:rPr>
            </w:pPr>
            <w:r>
              <w:rPr>
                <w:rFonts w:hint="eastAsia" w:ascii="宋体" w:hAnsi="宋体" w:eastAsia="宋体" w:cs="宋体"/>
                <w:kern w:val="0"/>
                <w:sz w:val="20"/>
                <w:szCs w:val="20"/>
                <w:lang w:bidi="ar"/>
              </w:rPr>
              <w:t>其他对外管理服务事项</w:t>
            </w:r>
          </w:p>
        </w:tc>
        <w:tc>
          <w:tcPr>
            <w:tcW w:w="1027" w:type="dxa"/>
            <w:gridSpan w:val="2"/>
            <w:tcBorders>
              <w:top w:val="nil"/>
              <w:left w:val="nil"/>
              <w:bottom w:val="single" w:color="auto" w:sz="4" w:space="0"/>
              <w:right w:val="single" w:color="auto" w:sz="4" w:space="0"/>
            </w:tcBorders>
            <w:vAlign w:val="center"/>
          </w:tcPr>
          <w:p w14:paraId="1346731A">
            <w:pPr>
              <w:widowControl/>
              <w:spacing w:line="340" w:lineRule="exact"/>
              <w:jc w:val="left"/>
              <w:rPr>
                <w:szCs w:val="32"/>
              </w:rPr>
            </w:pPr>
            <w:r>
              <w:rPr>
                <w:rFonts w:hint="eastAsia" w:ascii="宋体" w:hAnsi="宋体" w:eastAsia="宋体" w:cs="宋体"/>
                <w:kern w:val="0"/>
                <w:sz w:val="20"/>
                <w:szCs w:val="20"/>
                <w:lang w:bidi="ar"/>
              </w:rPr>
              <w:t>　21</w:t>
            </w:r>
          </w:p>
        </w:tc>
        <w:tc>
          <w:tcPr>
            <w:tcW w:w="1607" w:type="dxa"/>
            <w:tcBorders>
              <w:top w:val="nil"/>
              <w:left w:val="nil"/>
              <w:bottom w:val="single" w:color="auto" w:sz="4" w:space="0"/>
              <w:right w:val="single" w:color="auto" w:sz="4" w:space="0"/>
            </w:tcBorders>
            <w:vAlign w:val="center"/>
          </w:tcPr>
          <w:p w14:paraId="3C410A17">
            <w:pPr>
              <w:widowControl/>
              <w:spacing w:line="340" w:lineRule="exact"/>
              <w:ind w:firstLine="198" w:firstLineChars="100"/>
              <w:jc w:val="left"/>
              <w:rPr>
                <w:szCs w:val="32"/>
              </w:rPr>
            </w:pPr>
            <w:r>
              <w:rPr>
                <w:rFonts w:hint="eastAsia" w:ascii="宋体" w:hAnsi="宋体" w:eastAsia="宋体" w:cs="宋体"/>
                <w:kern w:val="0"/>
                <w:sz w:val="20"/>
                <w:szCs w:val="20"/>
                <w:lang w:bidi="ar"/>
              </w:rPr>
              <w:t>　-2</w:t>
            </w:r>
          </w:p>
        </w:tc>
        <w:tc>
          <w:tcPr>
            <w:tcW w:w="3212" w:type="dxa"/>
            <w:gridSpan w:val="2"/>
            <w:tcBorders>
              <w:top w:val="nil"/>
              <w:left w:val="nil"/>
              <w:bottom w:val="single" w:color="auto" w:sz="4" w:space="0"/>
              <w:right w:val="single" w:color="auto" w:sz="4" w:space="0"/>
            </w:tcBorders>
            <w:vAlign w:val="center"/>
          </w:tcPr>
          <w:p w14:paraId="48E688E5">
            <w:pPr>
              <w:widowControl/>
              <w:spacing w:line="340" w:lineRule="exact"/>
              <w:jc w:val="left"/>
              <w:rPr>
                <w:szCs w:val="32"/>
              </w:rPr>
            </w:pPr>
            <w:r>
              <w:rPr>
                <w:rFonts w:hint="eastAsia" w:ascii="宋体" w:hAnsi="宋体" w:eastAsia="宋体" w:cs="宋体"/>
                <w:kern w:val="0"/>
                <w:sz w:val="20"/>
                <w:szCs w:val="20"/>
                <w:lang w:bidi="ar"/>
              </w:rPr>
              <w:t>　      6488</w:t>
            </w:r>
          </w:p>
        </w:tc>
      </w:tr>
      <w:tr w14:paraId="699CE10B">
        <w:tblPrEx>
          <w:tblCellMar>
            <w:top w:w="0" w:type="dxa"/>
            <w:left w:w="108" w:type="dxa"/>
            <w:bottom w:w="0" w:type="dxa"/>
            <w:right w:w="108" w:type="dxa"/>
          </w:tblCellMar>
        </w:tblPrEx>
        <w:trPr>
          <w:trHeight w:val="498" w:hRule="atLeast"/>
        </w:trPr>
        <w:tc>
          <w:tcPr>
            <w:tcW w:w="7780" w:type="dxa"/>
            <w:gridSpan w:val="6"/>
            <w:tcBorders>
              <w:top w:val="single" w:color="auto" w:sz="4" w:space="0"/>
              <w:left w:val="single" w:color="auto" w:sz="4" w:space="0"/>
              <w:bottom w:val="single" w:color="auto" w:sz="4" w:space="0"/>
              <w:right w:val="single" w:color="auto" w:sz="4" w:space="0"/>
            </w:tcBorders>
            <w:shd w:val="clear" w:color="auto" w:fill="C6D9F1"/>
            <w:vAlign w:val="center"/>
          </w:tcPr>
          <w:p w14:paraId="3AB32D4D">
            <w:pPr>
              <w:widowControl/>
              <w:spacing w:line="340" w:lineRule="exact"/>
              <w:jc w:val="center"/>
              <w:rPr>
                <w:szCs w:val="32"/>
              </w:rPr>
            </w:pPr>
            <w:r>
              <w:rPr>
                <w:rFonts w:hint="eastAsia" w:ascii="宋体" w:hAnsi="宋体" w:eastAsia="宋体" w:cs="宋体"/>
                <w:kern w:val="0"/>
                <w:sz w:val="20"/>
                <w:szCs w:val="20"/>
                <w:lang w:bidi="ar"/>
              </w:rPr>
              <w:t>第二十条第（六）项</w:t>
            </w:r>
          </w:p>
        </w:tc>
      </w:tr>
      <w:tr w14:paraId="3662CB71">
        <w:tblPrEx>
          <w:tblCellMar>
            <w:top w:w="0" w:type="dxa"/>
            <w:left w:w="108" w:type="dxa"/>
            <w:bottom w:w="0" w:type="dxa"/>
            <w:right w:w="108" w:type="dxa"/>
          </w:tblCellMar>
        </w:tblPrEx>
        <w:trPr>
          <w:trHeight w:val="955" w:hRule="atLeast"/>
        </w:trPr>
        <w:tc>
          <w:tcPr>
            <w:tcW w:w="1934" w:type="dxa"/>
            <w:tcBorders>
              <w:top w:val="nil"/>
              <w:left w:val="single" w:color="auto" w:sz="4" w:space="0"/>
              <w:bottom w:val="single" w:color="auto" w:sz="4" w:space="0"/>
              <w:right w:val="single" w:color="auto" w:sz="4" w:space="0"/>
            </w:tcBorders>
            <w:vAlign w:val="center"/>
          </w:tcPr>
          <w:p w14:paraId="3AA12C21">
            <w:pPr>
              <w:widowControl/>
              <w:spacing w:line="340" w:lineRule="exact"/>
              <w:jc w:val="center"/>
              <w:rPr>
                <w:szCs w:val="32"/>
              </w:rPr>
            </w:pPr>
            <w:r>
              <w:rPr>
                <w:rFonts w:hint="eastAsia" w:ascii="宋体" w:hAnsi="宋体" w:eastAsia="宋体" w:cs="宋体"/>
                <w:kern w:val="0"/>
                <w:sz w:val="20"/>
                <w:szCs w:val="20"/>
                <w:lang w:bidi="ar"/>
              </w:rPr>
              <w:t>信息内容</w:t>
            </w:r>
          </w:p>
        </w:tc>
        <w:tc>
          <w:tcPr>
            <w:tcW w:w="1021" w:type="dxa"/>
            <w:tcBorders>
              <w:top w:val="single" w:color="auto" w:sz="4" w:space="0"/>
              <w:left w:val="nil"/>
              <w:bottom w:val="single" w:color="auto" w:sz="4" w:space="0"/>
              <w:right w:val="single" w:color="auto" w:sz="4" w:space="0"/>
            </w:tcBorders>
            <w:vAlign w:val="center"/>
          </w:tcPr>
          <w:p w14:paraId="3A7F9285">
            <w:pPr>
              <w:widowControl/>
              <w:spacing w:line="340" w:lineRule="exact"/>
              <w:jc w:val="center"/>
              <w:rPr>
                <w:szCs w:val="32"/>
              </w:rPr>
            </w:pPr>
            <w:r>
              <w:rPr>
                <w:rFonts w:hint="eastAsia" w:ascii="宋体" w:hAnsi="宋体" w:eastAsia="宋体" w:cs="宋体"/>
                <w:kern w:val="0"/>
                <w:sz w:val="20"/>
                <w:szCs w:val="20"/>
                <w:lang w:bidi="ar"/>
              </w:rPr>
              <w:t>上一年项目数量</w:t>
            </w:r>
          </w:p>
        </w:tc>
        <w:tc>
          <w:tcPr>
            <w:tcW w:w="1613" w:type="dxa"/>
            <w:gridSpan w:val="2"/>
            <w:tcBorders>
              <w:top w:val="single" w:color="auto" w:sz="4" w:space="0"/>
              <w:left w:val="nil"/>
              <w:bottom w:val="single" w:color="auto" w:sz="4" w:space="0"/>
              <w:right w:val="single" w:color="auto" w:sz="4" w:space="0"/>
            </w:tcBorders>
            <w:vAlign w:val="center"/>
          </w:tcPr>
          <w:p w14:paraId="7D42172A">
            <w:pPr>
              <w:widowControl/>
              <w:spacing w:line="340" w:lineRule="exact"/>
              <w:jc w:val="center"/>
              <w:rPr>
                <w:szCs w:val="32"/>
              </w:rPr>
            </w:pPr>
            <w:r>
              <w:rPr>
                <w:rFonts w:hint="eastAsia" w:ascii="宋体" w:hAnsi="宋体" w:eastAsia="宋体" w:cs="宋体"/>
                <w:kern w:val="0"/>
                <w:sz w:val="20"/>
                <w:szCs w:val="20"/>
                <w:lang w:bidi="ar"/>
              </w:rPr>
              <w:t>本年增/减</w:t>
            </w:r>
          </w:p>
        </w:tc>
        <w:tc>
          <w:tcPr>
            <w:tcW w:w="3212" w:type="dxa"/>
            <w:gridSpan w:val="2"/>
            <w:tcBorders>
              <w:top w:val="nil"/>
              <w:left w:val="nil"/>
              <w:bottom w:val="single" w:color="auto" w:sz="4" w:space="0"/>
              <w:right w:val="single" w:color="auto" w:sz="4" w:space="0"/>
            </w:tcBorders>
            <w:vAlign w:val="center"/>
          </w:tcPr>
          <w:p w14:paraId="037CCF0B">
            <w:pPr>
              <w:widowControl/>
              <w:spacing w:line="340" w:lineRule="exact"/>
              <w:jc w:val="center"/>
              <w:rPr>
                <w:szCs w:val="32"/>
              </w:rPr>
            </w:pPr>
            <w:r>
              <w:rPr>
                <w:rFonts w:hint="eastAsia" w:ascii="宋体" w:hAnsi="宋体" w:eastAsia="宋体" w:cs="宋体"/>
                <w:kern w:val="0"/>
                <w:sz w:val="20"/>
                <w:szCs w:val="20"/>
                <w:lang w:bidi="ar"/>
              </w:rPr>
              <w:t>处理决定数量</w:t>
            </w:r>
          </w:p>
        </w:tc>
      </w:tr>
      <w:tr w14:paraId="2D65D57C">
        <w:tblPrEx>
          <w:tblCellMar>
            <w:top w:w="0" w:type="dxa"/>
            <w:left w:w="108" w:type="dxa"/>
            <w:bottom w:w="0" w:type="dxa"/>
            <w:right w:w="108" w:type="dxa"/>
          </w:tblCellMar>
        </w:tblPrEx>
        <w:trPr>
          <w:trHeight w:val="478" w:hRule="atLeast"/>
        </w:trPr>
        <w:tc>
          <w:tcPr>
            <w:tcW w:w="1934" w:type="dxa"/>
            <w:tcBorders>
              <w:top w:val="nil"/>
              <w:left w:val="single" w:color="auto" w:sz="4" w:space="0"/>
              <w:bottom w:val="single" w:color="auto" w:sz="4" w:space="0"/>
              <w:right w:val="single" w:color="auto" w:sz="4" w:space="0"/>
            </w:tcBorders>
            <w:vAlign w:val="center"/>
          </w:tcPr>
          <w:p w14:paraId="56B93734">
            <w:pPr>
              <w:widowControl/>
              <w:spacing w:line="340" w:lineRule="exact"/>
              <w:jc w:val="left"/>
              <w:rPr>
                <w:szCs w:val="32"/>
              </w:rPr>
            </w:pPr>
            <w:r>
              <w:rPr>
                <w:rFonts w:hint="eastAsia" w:ascii="宋体" w:hAnsi="宋体" w:eastAsia="宋体" w:cs="宋体"/>
                <w:kern w:val="0"/>
                <w:sz w:val="20"/>
                <w:szCs w:val="20"/>
                <w:lang w:bidi="ar"/>
              </w:rPr>
              <w:t>行政处罚</w:t>
            </w:r>
          </w:p>
        </w:tc>
        <w:tc>
          <w:tcPr>
            <w:tcW w:w="1027" w:type="dxa"/>
            <w:gridSpan w:val="2"/>
            <w:tcBorders>
              <w:top w:val="single" w:color="auto" w:sz="4" w:space="0"/>
              <w:left w:val="nil"/>
              <w:bottom w:val="single" w:color="auto" w:sz="4" w:space="0"/>
              <w:right w:val="single" w:color="auto" w:sz="4" w:space="0"/>
            </w:tcBorders>
            <w:vAlign w:val="center"/>
          </w:tcPr>
          <w:p w14:paraId="195F16E5">
            <w:pPr>
              <w:widowControl/>
              <w:spacing w:line="340" w:lineRule="exact"/>
              <w:jc w:val="left"/>
              <w:rPr>
                <w:szCs w:val="32"/>
              </w:rPr>
            </w:pPr>
            <w:r>
              <w:rPr>
                <w:rFonts w:hint="eastAsia" w:ascii="宋体" w:hAnsi="宋体" w:eastAsia="宋体" w:cs="宋体"/>
                <w:kern w:val="0"/>
                <w:sz w:val="20"/>
                <w:szCs w:val="20"/>
                <w:lang w:bidi="ar"/>
              </w:rPr>
              <w:t>　0</w:t>
            </w:r>
          </w:p>
        </w:tc>
        <w:tc>
          <w:tcPr>
            <w:tcW w:w="1607" w:type="dxa"/>
            <w:tcBorders>
              <w:top w:val="single" w:color="auto" w:sz="4" w:space="0"/>
              <w:left w:val="nil"/>
              <w:bottom w:val="single" w:color="auto" w:sz="4" w:space="0"/>
              <w:right w:val="single" w:color="auto" w:sz="4" w:space="0"/>
            </w:tcBorders>
            <w:vAlign w:val="center"/>
          </w:tcPr>
          <w:p w14:paraId="0C6A9CAA">
            <w:pPr>
              <w:widowControl/>
              <w:spacing w:line="340" w:lineRule="exact"/>
              <w:jc w:val="left"/>
              <w:rPr>
                <w:szCs w:val="32"/>
              </w:rPr>
            </w:pPr>
            <w:r>
              <w:rPr>
                <w:rFonts w:hint="eastAsia" w:ascii="宋体" w:hAnsi="宋体" w:eastAsia="宋体" w:cs="宋体"/>
                <w:kern w:val="0"/>
                <w:sz w:val="20"/>
                <w:szCs w:val="20"/>
                <w:lang w:bidi="ar"/>
              </w:rPr>
              <w:t>　    0</w:t>
            </w:r>
          </w:p>
        </w:tc>
        <w:tc>
          <w:tcPr>
            <w:tcW w:w="3212" w:type="dxa"/>
            <w:gridSpan w:val="2"/>
            <w:tcBorders>
              <w:top w:val="nil"/>
              <w:left w:val="nil"/>
              <w:bottom w:val="single" w:color="auto" w:sz="4" w:space="0"/>
              <w:right w:val="single" w:color="auto" w:sz="4" w:space="0"/>
            </w:tcBorders>
            <w:vAlign w:val="center"/>
          </w:tcPr>
          <w:p w14:paraId="5FF25F18">
            <w:pPr>
              <w:widowControl/>
              <w:spacing w:line="340" w:lineRule="exact"/>
              <w:jc w:val="left"/>
              <w:rPr>
                <w:szCs w:val="32"/>
              </w:rPr>
            </w:pPr>
            <w:r>
              <w:rPr>
                <w:rFonts w:hint="eastAsia" w:ascii="宋体" w:hAnsi="宋体" w:eastAsia="宋体" w:cs="宋体"/>
                <w:kern w:val="0"/>
                <w:sz w:val="20"/>
                <w:szCs w:val="20"/>
                <w:lang w:bidi="ar"/>
              </w:rPr>
              <w:t>　            0</w:t>
            </w:r>
          </w:p>
        </w:tc>
      </w:tr>
      <w:tr w14:paraId="729E69C7">
        <w:tblPrEx>
          <w:tblCellMar>
            <w:top w:w="0" w:type="dxa"/>
            <w:left w:w="108" w:type="dxa"/>
            <w:bottom w:w="0" w:type="dxa"/>
            <w:right w:w="108" w:type="dxa"/>
          </w:tblCellMar>
        </w:tblPrEx>
        <w:trPr>
          <w:trHeight w:val="493" w:hRule="atLeast"/>
        </w:trPr>
        <w:tc>
          <w:tcPr>
            <w:tcW w:w="1934" w:type="dxa"/>
            <w:tcBorders>
              <w:top w:val="nil"/>
              <w:left w:val="single" w:color="auto" w:sz="4" w:space="0"/>
              <w:bottom w:val="single" w:color="auto" w:sz="4" w:space="0"/>
              <w:right w:val="single" w:color="auto" w:sz="4" w:space="0"/>
            </w:tcBorders>
            <w:vAlign w:val="center"/>
          </w:tcPr>
          <w:p w14:paraId="510D9AE5">
            <w:pPr>
              <w:widowControl/>
              <w:spacing w:line="340" w:lineRule="exact"/>
              <w:jc w:val="left"/>
              <w:rPr>
                <w:szCs w:val="32"/>
              </w:rPr>
            </w:pPr>
            <w:r>
              <w:rPr>
                <w:rFonts w:hint="eastAsia" w:ascii="宋体" w:hAnsi="宋体" w:eastAsia="宋体" w:cs="宋体"/>
                <w:kern w:val="0"/>
                <w:sz w:val="20"/>
                <w:szCs w:val="20"/>
                <w:lang w:bidi="ar"/>
              </w:rPr>
              <w:t>行政强制</w:t>
            </w:r>
          </w:p>
        </w:tc>
        <w:tc>
          <w:tcPr>
            <w:tcW w:w="1027" w:type="dxa"/>
            <w:gridSpan w:val="2"/>
            <w:tcBorders>
              <w:top w:val="nil"/>
              <w:left w:val="nil"/>
              <w:bottom w:val="single" w:color="auto" w:sz="4" w:space="0"/>
              <w:right w:val="single" w:color="auto" w:sz="4" w:space="0"/>
            </w:tcBorders>
            <w:vAlign w:val="center"/>
          </w:tcPr>
          <w:p w14:paraId="0E5E2568">
            <w:pPr>
              <w:widowControl/>
              <w:spacing w:line="340" w:lineRule="exact"/>
              <w:jc w:val="center"/>
              <w:rPr>
                <w:szCs w:val="32"/>
              </w:rPr>
            </w:pPr>
            <w:r>
              <w:rPr>
                <w:rFonts w:hint="eastAsia" w:ascii="宋体" w:hAnsi="宋体" w:cs="宋体"/>
                <w:kern w:val="0"/>
                <w:sz w:val="20"/>
                <w:szCs w:val="20"/>
                <w:lang w:bidi="ar"/>
              </w:rPr>
              <w:t>0</w:t>
            </w:r>
          </w:p>
        </w:tc>
        <w:tc>
          <w:tcPr>
            <w:tcW w:w="1607" w:type="dxa"/>
            <w:tcBorders>
              <w:top w:val="nil"/>
              <w:left w:val="nil"/>
              <w:bottom w:val="single" w:color="auto" w:sz="4" w:space="0"/>
              <w:right w:val="single" w:color="auto" w:sz="4" w:space="0"/>
            </w:tcBorders>
            <w:vAlign w:val="center"/>
          </w:tcPr>
          <w:p w14:paraId="53A43A22">
            <w:pPr>
              <w:widowControl/>
              <w:spacing w:line="340" w:lineRule="exact"/>
              <w:jc w:val="center"/>
              <w:rPr>
                <w:szCs w:val="32"/>
              </w:rPr>
            </w:pPr>
            <w:r>
              <w:rPr>
                <w:rFonts w:hint="eastAsia" w:ascii="宋体" w:hAnsi="宋体" w:cs="宋体"/>
                <w:kern w:val="0"/>
                <w:sz w:val="20"/>
                <w:szCs w:val="20"/>
                <w:lang w:bidi="ar"/>
              </w:rPr>
              <w:t>0</w:t>
            </w:r>
          </w:p>
        </w:tc>
        <w:tc>
          <w:tcPr>
            <w:tcW w:w="3212" w:type="dxa"/>
            <w:gridSpan w:val="2"/>
            <w:tcBorders>
              <w:top w:val="nil"/>
              <w:left w:val="nil"/>
              <w:bottom w:val="single" w:color="auto" w:sz="4" w:space="0"/>
              <w:right w:val="single" w:color="auto" w:sz="4" w:space="0"/>
            </w:tcBorders>
            <w:vAlign w:val="center"/>
          </w:tcPr>
          <w:p w14:paraId="6EDB7786">
            <w:pPr>
              <w:widowControl/>
              <w:spacing w:line="340" w:lineRule="exact"/>
              <w:jc w:val="center"/>
              <w:rPr>
                <w:szCs w:val="32"/>
              </w:rPr>
            </w:pPr>
            <w:r>
              <w:rPr>
                <w:rFonts w:hint="eastAsia" w:ascii="宋体" w:hAnsi="宋体" w:cs="宋体"/>
                <w:kern w:val="0"/>
                <w:sz w:val="20"/>
                <w:szCs w:val="20"/>
                <w:lang w:bidi="ar"/>
              </w:rPr>
              <w:t>0</w:t>
            </w:r>
          </w:p>
        </w:tc>
      </w:tr>
      <w:tr w14:paraId="32C1757F">
        <w:tblPrEx>
          <w:tblCellMar>
            <w:top w:w="0" w:type="dxa"/>
            <w:left w:w="108" w:type="dxa"/>
            <w:bottom w:w="0" w:type="dxa"/>
            <w:right w:w="108" w:type="dxa"/>
          </w:tblCellMar>
        </w:tblPrEx>
        <w:trPr>
          <w:trHeight w:val="408" w:hRule="atLeast"/>
        </w:trPr>
        <w:tc>
          <w:tcPr>
            <w:tcW w:w="7780" w:type="dxa"/>
            <w:gridSpan w:val="6"/>
            <w:tcBorders>
              <w:top w:val="single" w:color="auto" w:sz="4" w:space="0"/>
              <w:left w:val="single" w:color="auto" w:sz="4" w:space="0"/>
              <w:bottom w:val="single" w:color="auto" w:sz="4" w:space="0"/>
              <w:right w:val="single" w:color="auto" w:sz="4" w:space="0"/>
            </w:tcBorders>
            <w:shd w:val="clear" w:color="auto" w:fill="C6D9F1"/>
            <w:vAlign w:val="center"/>
          </w:tcPr>
          <w:p w14:paraId="6C0698A4">
            <w:pPr>
              <w:widowControl/>
              <w:spacing w:line="340" w:lineRule="exact"/>
              <w:jc w:val="center"/>
              <w:rPr>
                <w:szCs w:val="32"/>
              </w:rPr>
            </w:pPr>
            <w:r>
              <w:rPr>
                <w:rFonts w:hint="eastAsia" w:ascii="宋体" w:hAnsi="宋体" w:eastAsia="宋体" w:cs="宋体"/>
                <w:kern w:val="0"/>
                <w:sz w:val="20"/>
                <w:szCs w:val="20"/>
                <w:lang w:bidi="ar"/>
              </w:rPr>
              <w:t>第二十条第（八）项</w:t>
            </w:r>
          </w:p>
        </w:tc>
      </w:tr>
      <w:tr w14:paraId="05DDD32E">
        <w:tblPrEx>
          <w:tblCellMar>
            <w:top w:w="0" w:type="dxa"/>
            <w:left w:w="108" w:type="dxa"/>
            <w:bottom w:w="0" w:type="dxa"/>
            <w:right w:w="108" w:type="dxa"/>
          </w:tblCellMar>
        </w:tblPrEx>
        <w:trPr>
          <w:trHeight w:val="865" w:hRule="atLeast"/>
        </w:trPr>
        <w:tc>
          <w:tcPr>
            <w:tcW w:w="1934" w:type="dxa"/>
            <w:tcBorders>
              <w:top w:val="nil"/>
              <w:left w:val="single" w:color="auto" w:sz="4" w:space="0"/>
              <w:bottom w:val="single" w:color="auto" w:sz="4" w:space="0"/>
              <w:right w:val="single" w:color="auto" w:sz="4" w:space="0"/>
            </w:tcBorders>
            <w:vAlign w:val="center"/>
          </w:tcPr>
          <w:p w14:paraId="7999C827">
            <w:pPr>
              <w:widowControl/>
              <w:spacing w:line="340" w:lineRule="exact"/>
              <w:jc w:val="center"/>
              <w:rPr>
                <w:szCs w:val="32"/>
              </w:rPr>
            </w:pPr>
            <w:r>
              <w:rPr>
                <w:rFonts w:hint="eastAsia" w:ascii="宋体" w:hAnsi="宋体" w:eastAsia="宋体" w:cs="宋体"/>
                <w:kern w:val="0"/>
                <w:sz w:val="20"/>
                <w:szCs w:val="20"/>
                <w:lang w:bidi="ar"/>
              </w:rPr>
              <w:t>信息内容</w:t>
            </w:r>
          </w:p>
        </w:tc>
        <w:tc>
          <w:tcPr>
            <w:tcW w:w="1027" w:type="dxa"/>
            <w:gridSpan w:val="2"/>
            <w:tcBorders>
              <w:top w:val="nil"/>
              <w:left w:val="nil"/>
              <w:bottom w:val="single" w:color="auto" w:sz="4" w:space="0"/>
              <w:right w:val="single" w:color="auto" w:sz="4" w:space="0"/>
            </w:tcBorders>
            <w:vAlign w:val="center"/>
          </w:tcPr>
          <w:p w14:paraId="20CD2719">
            <w:pPr>
              <w:widowControl/>
              <w:spacing w:line="340" w:lineRule="exact"/>
              <w:jc w:val="left"/>
              <w:rPr>
                <w:szCs w:val="32"/>
              </w:rPr>
            </w:pPr>
            <w:r>
              <w:rPr>
                <w:rFonts w:hint="eastAsia" w:ascii="宋体" w:hAnsi="宋体" w:eastAsia="宋体" w:cs="宋体"/>
                <w:kern w:val="0"/>
                <w:sz w:val="20"/>
                <w:szCs w:val="20"/>
                <w:lang w:bidi="ar"/>
              </w:rPr>
              <w:t>上一年项目数量</w:t>
            </w:r>
          </w:p>
        </w:tc>
        <w:tc>
          <w:tcPr>
            <w:tcW w:w="4819" w:type="dxa"/>
            <w:gridSpan w:val="3"/>
            <w:tcBorders>
              <w:top w:val="single" w:color="auto" w:sz="4" w:space="0"/>
              <w:left w:val="nil"/>
              <w:bottom w:val="single" w:color="auto" w:sz="4" w:space="0"/>
              <w:right w:val="single" w:color="000000" w:sz="4" w:space="0"/>
            </w:tcBorders>
            <w:vAlign w:val="center"/>
          </w:tcPr>
          <w:p w14:paraId="3F391FFC">
            <w:pPr>
              <w:widowControl/>
              <w:spacing w:line="340" w:lineRule="exact"/>
              <w:jc w:val="center"/>
              <w:rPr>
                <w:szCs w:val="32"/>
              </w:rPr>
            </w:pPr>
            <w:r>
              <w:rPr>
                <w:rFonts w:hint="eastAsia" w:ascii="宋体" w:hAnsi="宋体" w:eastAsia="宋体" w:cs="宋体"/>
                <w:kern w:val="0"/>
                <w:sz w:val="20"/>
                <w:szCs w:val="20"/>
                <w:lang w:bidi="ar"/>
              </w:rPr>
              <w:t>本年增/减</w:t>
            </w:r>
          </w:p>
        </w:tc>
      </w:tr>
      <w:tr w14:paraId="0BD2F75C">
        <w:tblPrEx>
          <w:tblCellMar>
            <w:top w:w="0" w:type="dxa"/>
            <w:left w:w="108" w:type="dxa"/>
            <w:bottom w:w="0" w:type="dxa"/>
            <w:right w:w="108" w:type="dxa"/>
          </w:tblCellMar>
        </w:tblPrEx>
        <w:trPr>
          <w:trHeight w:val="448" w:hRule="atLeast"/>
        </w:trPr>
        <w:tc>
          <w:tcPr>
            <w:tcW w:w="1934" w:type="dxa"/>
            <w:tcBorders>
              <w:top w:val="nil"/>
              <w:left w:val="single" w:color="auto" w:sz="4" w:space="0"/>
              <w:bottom w:val="single" w:color="auto" w:sz="4" w:space="0"/>
              <w:right w:val="single" w:color="auto" w:sz="4" w:space="0"/>
            </w:tcBorders>
            <w:vAlign w:val="center"/>
          </w:tcPr>
          <w:p w14:paraId="59CB57CE">
            <w:pPr>
              <w:widowControl/>
              <w:spacing w:line="340" w:lineRule="exact"/>
              <w:jc w:val="left"/>
              <w:rPr>
                <w:szCs w:val="32"/>
              </w:rPr>
            </w:pPr>
            <w:r>
              <w:rPr>
                <w:rFonts w:hint="eastAsia" w:ascii="宋体" w:hAnsi="宋体" w:eastAsia="宋体" w:cs="宋体"/>
                <w:kern w:val="0"/>
                <w:sz w:val="20"/>
                <w:szCs w:val="20"/>
                <w:lang w:bidi="ar"/>
              </w:rPr>
              <w:t>行政事业性收费</w:t>
            </w:r>
          </w:p>
        </w:tc>
        <w:tc>
          <w:tcPr>
            <w:tcW w:w="1027" w:type="dxa"/>
            <w:gridSpan w:val="2"/>
            <w:tcBorders>
              <w:top w:val="nil"/>
              <w:left w:val="nil"/>
              <w:bottom w:val="single" w:color="auto" w:sz="4" w:space="0"/>
              <w:right w:val="single" w:color="auto" w:sz="4" w:space="0"/>
            </w:tcBorders>
            <w:vAlign w:val="center"/>
          </w:tcPr>
          <w:p w14:paraId="04B7040E">
            <w:pPr>
              <w:widowControl/>
              <w:spacing w:line="340" w:lineRule="exact"/>
              <w:jc w:val="left"/>
              <w:rPr>
                <w:szCs w:val="32"/>
              </w:rPr>
            </w:pPr>
            <w:r>
              <w:rPr>
                <w:rFonts w:hint="eastAsia" w:ascii="宋体" w:hAnsi="宋体" w:eastAsia="宋体" w:cs="宋体"/>
                <w:kern w:val="0"/>
                <w:sz w:val="20"/>
                <w:szCs w:val="20"/>
                <w:lang w:bidi="ar"/>
              </w:rPr>
              <w:t>　29</w:t>
            </w:r>
          </w:p>
        </w:tc>
        <w:tc>
          <w:tcPr>
            <w:tcW w:w="4819" w:type="dxa"/>
            <w:gridSpan w:val="3"/>
            <w:tcBorders>
              <w:top w:val="single" w:color="auto" w:sz="4" w:space="0"/>
              <w:left w:val="nil"/>
              <w:bottom w:val="single" w:color="auto" w:sz="4" w:space="0"/>
              <w:right w:val="single" w:color="000000" w:sz="4" w:space="0"/>
            </w:tcBorders>
            <w:vAlign w:val="center"/>
          </w:tcPr>
          <w:p w14:paraId="5389FF8A">
            <w:pPr>
              <w:widowControl/>
              <w:spacing w:line="340" w:lineRule="exact"/>
              <w:jc w:val="center"/>
              <w:rPr>
                <w:szCs w:val="32"/>
              </w:rPr>
            </w:pPr>
            <w:r>
              <w:rPr>
                <w:rFonts w:hint="eastAsia" w:ascii="宋体" w:eastAsia="宋体"/>
                <w:kern w:val="0"/>
                <w:sz w:val="20"/>
                <w:szCs w:val="20"/>
                <w:lang w:bidi="ar"/>
              </w:rPr>
              <w:t> 0</w:t>
            </w:r>
          </w:p>
        </w:tc>
      </w:tr>
      <w:tr w14:paraId="6992CA97">
        <w:tblPrEx>
          <w:tblCellMar>
            <w:top w:w="0" w:type="dxa"/>
            <w:left w:w="108" w:type="dxa"/>
            <w:bottom w:w="0" w:type="dxa"/>
            <w:right w:w="108" w:type="dxa"/>
          </w:tblCellMar>
        </w:tblPrEx>
        <w:trPr>
          <w:trHeight w:val="643" w:hRule="atLeast"/>
        </w:trPr>
        <w:tc>
          <w:tcPr>
            <w:tcW w:w="7780" w:type="dxa"/>
            <w:gridSpan w:val="6"/>
            <w:tcBorders>
              <w:top w:val="single" w:color="auto" w:sz="4" w:space="0"/>
              <w:left w:val="single" w:color="auto" w:sz="4" w:space="0"/>
              <w:bottom w:val="single" w:color="auto" w:sz="4" w:space="0"/>
              <w:right w:val="single" w:color="auto" w:sz="4" w:space="0"/>
            </w:tcBorders>
            <w:shd w:val="clear" w:color="auto" w:fill="C6D9F1"/>
            <w:vAlign w:val="center"/>
          </w:tcPr>
          <w:p w14:paraId="05F9F5BD">
            <w:pPr>
              <w:widowControl/>
              <w:spacing w:line="340" w:lineRule="exact"/>
              <w:jc w:val="center"/>
              <w:rPr>
                <w:szCs w:val="32"/>
              </w:rPr>
            </w:pPr>
            <w:r>
              <w:rPr>
                <w:rFonts w:hint="eastAsia" w:ascii="宋体" w:hAnsi="宋体" w:eastAsia="宋体" w:cs="宋体"/>
                <w:kern w:val="0"/>
                <w:sz w:val="20"/>
                <w:szCs w:val="20"/>
                <w:lang w:bidi="ar"/>
              </w:rPr>
              <w:t>第二十条第（九）项</w:t>
            </w:r>
          </w:p>
        </w:tc>
      </w:tr>
      <w:tr w14:paraId="5B212EA1">
        <w:tblPrEx>
          <w:tblCellMar>
            <w:top w:w="0" w:type="dxa"/>
            <w:left w:w="108" w:type="dxa"/>
            <w:bottom w:w="0" w:type="dxa"/>
            <w:right w:w="108" w:type="dxa"/>
          </w:tblCellMar>
        </w:tblPrEx>
        <w:trPr>
          <w:trHeight w:val="850" w:hRule="atLeast"/>
        </w:trPr>
        <w:tc>
          <w:tcPr>
            <w:tcW w:w="1934" w:type="dxa"/>
            <w:tcBorders>
              <w:top w:val="nil"/>
              <w:left w:val="single" w:color="auto" w:sz="4" w:space="0"/>
              <w:bottom w:val="single" w:color="auto" w:sz="4" w:space="0"/>
              <w:right w:val="single" w:color="auto" w:sz="4" w:space="0"/>
            </w:tcBorders>
            <w:vAlign w:val="center"/>
          </w:tcPr>
          <w:p w14:paraId="52413739">
            <w:pPr>
              <w:widowControl/>
              <w:spacing w:line="340" w:lineRule="exact"/>
              <w:jc w:val="center"/>
              <w:rPr>
                <w:szCs w:val="32"/>
              </w:rPr>
            </w:pPr>
            <w:r>
              <w:rPr>
                <w:rFonts w:hint="eastAsia" w:ascii="宋体" w:hAnsi="宋体" w:eastAsia="宋体" w:cs="宋体"/>
                <w:kern w:val="0"/>
                <w:sz w:val="20"/>
                <w:szCs w:val="20"/>
                <w:lang w:bidi="ar"/>
              </w:rPr>
              <w:t>信息内容</w:t>
            </w:r>
          </w:p>
        </w:tc>
        <w:tc>
          <w:tcPr>
            <w:tcW w:w="1027" w:type="dxa"/>
            <w:gridSpan w:val="2"/>
            <w:tcBorders>
              <w:top w:val="nil"/>
              <w:left w:val="nil"/>
              <w:bottom w:val="single" w:color="auto" w:sz="4" w:space="0"/>
              <w:right w:val="single" w:color="auto" w:sz="4" w:space="0"/>
            </w:tcBorders>
            <w:vAlign w:val="center"/>
          </w:tcPr>
          <w:p w14:paraId="3D8A3ABA">
            <w:pPr>
              <w:widowControl/>
              <w:spacing w:line="340" w:lineRule="exact"/>
              <w:jc w:val="center"/>
              <w:rPr>
                <w:szCs w:val="32"/>
              </w:rPr>
            </w:pPr>
            <w:r>
              <w:rPr>
                <w:rFonts w:hint="eastAsia" w:ascii="宋体" w:hAnsi="宋体" w:eastAsia="宋体" w:cs="宋体"/>
                <w:kern w:val="0"/>
                <w:sz w:val="20"/>
                <w:szCs w:val="20"/>
                <w:lang w:bidi="ar"/>
              </w:rPr>
              <w:t>采购项目数量</w:t>
            </w:r>
          </w:p>
        </w:tc>
        <w:tc>
          <w:tcPr>
            <w:tcW w:w="4819" w:type="dxa"/>
            <w:gridSpan w:val="3"/>
            <w:tcBorders>
              <w:top w:val="single" w:color="auto" w:sz="4" w:space="0"/>
              <w:left w:val="nil"/>
              <w:bottom w:val="single" w:color="auto" w:sz="4" w:space="0"/>
              <w:right w:val="single" w:color="000000" w:sz="4" w:space="0"/>
            </w:tcBorders>
            <w:vAlign w:val="center"/>
          </w:tcPr>
          <w:p w14:paraId="12CEBAFF">
            <w:pPr>
              <w:widowControl/>
              <w:spacing w:line="340" w:lineRule="exact"/>
              <w:jc w:val="center"/>
              <w:rPr>
                <w:szCs w:val="32"/>
              </w:rPr>
            </w:pPr>
            <w:r>
              <w:rPr>
                <w:rFonts w:hint="eastAsia" w:ascii="宋体" w:hAnsi="宋体" w:eastAsia="宋体" w:cs="宋体"/>
                <w:kern w:val="0"/>
                <w:sz w:val="20"/>
                <w:szCs w:val="20"/>
                <w:lang w:bidi="ar"/>
              </w:rPr>
              <w:t>采购总金额</w:t>
            </w:r>
          </w:p>
        </w:tc>
      </w:tr>
      <w:tr w14:paraId="10C3D693">
        <w:tblPrEx>
          <w:tblCellMar>
            <w:top w:w="0" w:type="dxa"/>
            <w:left w:w="108" w:type="dxa"/>
            <w:bottom w:w="0" w:type="dxa"/>
            <w:right w:w="108" w:type="dxa"/>
          </w:tblCellMar>
        </w:tblPrEx>
        <w:trPr>
          <w:trHeight w:val="653" w:hRule="atLeast"/>
        </w:trPr>
        <w:tc>
          <w:tcPr>
            <w:tcW w:w="1934" w:type="dxa"/>
            <w:tcBorders>
              <w:top w:val="nil"/>
              <w:left w:val="single" w:color="auto" w:sz="4" w:space="0"/>
              <w:bottom w:val="single" w:color="auto" w:sz="4" w:space="0"/>
              <w:right w:val="single" w:color="auto" w:sz="4" w:space="0"/>
            </w:tcBorders>
            <w:vAlign w:val="center"/>
          </w:tcPr>
          <w:p w14:paraId="3F8354C6">
            <w:pPr>
              <w:widowControl/>
              <w:spacing w:line="340" w:lineRule="exact"/>
              <w:jc w:val="left"/>
              <w:rPr>
                <w:szCs w:val="32"/>
              </w:rPr>
            </w:pPr>
            <w:r>
              <w:rPr>
                <w:rFonts w:hint="eastAsia" w:ascii="宋体" w:hAnsi="宋体" w:eastAsia="宋体" w:cs="宋体"/>
                <w:kern w:val="0"/>
                <w:sz w:val="20"/>
                <w:szCs w:val="20"/>
                <w:lang w:bidi="ar"/>
              </w:rPr>
              <w:t>政府集中采购</w:t>
            </w:r>
          </w:p>
        </w:tc>
        <w:tc>
          <w:tcPr>
            <w:tcW w:w="1027" w:type="dxa"/>
            <w:gridSpan w:val="2"/>
            <w:tcBorders>
              <w:top w:val="nil"/>
              <w:left w:val="nil"/>
              <w:bottom w:val="single" w:color="auto" w:sz="4" w:space="0"/>
              <w:right w:val="single" w:color="auto" w:sz="4" w:space="0"/>
            </w:tcBorders>
            <w:vAlign w:val="center"/>
          </w:tcPr>
          <w:p w14:paraId="65EC1DEB">
            <w:pPr>
              <w:widowControl/>
              <w:spacing w:line="340" w:lineRule="exact"/>
              <w:jc w:val="left"/>
              <w:rPr>
                <w:szCs w:val="32"/>
              </w:rPr>
            </w:pPr>
            <w:r>
              <w:rPr>
                <w:rFonts w:hint="eastAsia" w:ascii="宋体" w:hAnsi="宋体" w:eastAsia="宋体" w:cs="宋体"/>
                <w:kern w:val="0"/>
                <w:sz w:val="20"/>
                <w:szCs w:val="20"/>
                <w:lang w:bidi="ar"/>
              </w:rPr>
              <w:t>　56</w:t>
            </w:r>
          </w:p>
        </w:tc>
        <w:tc>
          <w:tcPr>
            <w:tcW w:w="4819" w:type="dxa"/>
            <w:gridSpan w:val="3"/>
            <w:tcBorders>
              <w:top w:val="single" w:color="auto" w:sz="4" w:space="0"/>
              <w:left w:val="nil"/>
              <w:bottom w:val="single" w:color="auto" w:sz="4" w:space="0"/>
              <w:right w:val="single" w:color="000000" w:sz="4" w:space="0"/>
            </w:tcBorders>
            <w:vAlign w:val="center"/>
          </w:tcPr>
          <w:p w14:paraId="64C7A766">
            <w:pPr>
              <w:widowControl/>
              <w:spacing w:line="340" w:lineRule="exact"/>
              <w:ind w:firstLine="1456" w:firstLineChars="700"/>
              <w:jc w:val="left"/>
              <w:rPr>
                <w:rFonts w:hint="eastAsia" w:ascii="宋体" w:hAnsi="宋体" w:eastAsia="宋体" w:cs="宋体"/>
                <w:sz w:val="21"/>
                <w:szCs w:val="21"/>
              </w:rPr>
            </w:pPr>
            <w:r>
              <w:rPr>
                <w:rFonts w:hint="eastAsia" w:ascii="宋体" w:hAnsi="宋体" w:eastAsia="宋体" w:cs="宋体"/>
                <w:sz w:val="21"/>
                <w:szCs w:val="21"/>
              </w:rPr>
              <w:t>3435.54万元</w:t>
            </w:r>
          </w:p>
        </w:tc>
      </w:tr>
    </w:tbl>
    <w:p w14:paraId="22F4B78D">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0C2859EB">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0C29FA7C">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58EDF2D5">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4A209E1F">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11D6F629">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059CD29B">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2145C71B">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73D881E6">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00C1E5FC">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3155F4E4">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3738A800">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00C292D0">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473C789B">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01C55CBE">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51EEEB83">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2FF3CFA7">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664BE35C">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68902417">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50CC254D">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1D191699">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0889E13A">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34BFFA5C">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14:paraId="22684157">
      <w:pPr>
        <w:pStyle w:val="5"/>
        <w:widowControl/>
        <w:spacing w:before="0" w:beforeAutospacing="0" w:after="0" w:afterAutospacing="0" w:line="340" w:lineRule="exact"/>
        <w:ind w:firstLine="420"/>
        <w:jc w:val="both"/>
        <w:rPr>
          <w:rFonts w:hint="eastAsia" w:ascii="黑体" w:hAnsi="黑体" w:eastAsia="黑体" w:cs="黑体"/>
          <w:b/>
          <w:sz w:val="32"/>
          <w:szCs w:val="32"/>
        </w:rPr>
      </w:pPr>
    </w:p>
    <w:p w14:paraId="6D6F7320">
      <w:pPr>
        <w:pStyle w:val="5"/>
        <w:widowControl/>
        <w:spacing w:before="0" w:beforeAutospacing="0" w:after="0" w:afterAutospacing="0" w:line="340" w:lineRule="exact"/>
        <w:ind w:firstLine="420"/>
        <w:jc w:val="both"/>
        <w:rPr>
          <w:rFonts w:hint="eastAsia" w:ascii="黑体" w:hAnsi="黑体" w:eastAsia="黑体" w:cs="黑体"/>
          <w:b/>
          <w:sz w:val="32"/>
          <w:szCs w:val="32"/>
        </w:rPr>
      </w:pPr>
    </w:p>
    <w:p w14:paraId="72863B56">
      <w:pPr>
        <w:pStyle w:val="5"/>
        <w:widowControl/>
        <w:spacing w:before="0" w:beforeAutospacing="0" w:after="0" w:afterAutospacing="0" w:line="340" w:lineRule="exact"/>
        <w:ind w:firstLine="420"/>
        <w:jc w:val="both"/>
        <w:rPr>
          <w:rFonts w:hint="eastAsia" w:ascii="黑体" w:hAnsi="黑体" w:eastAsia="黑体" w:cs="黑体"/>
          <w:b/>
          <w:sz w:val="32"/>
          <w:szCs w:val="32"/>
        </w:rPr>
      </w:pPr>
    </w:p>
    <w:p w14:paraId="30361348">
      <w:pPr>
        <w:pStyle w:val="5"/>
        <w:widowControl/>
        <w:spacing w:before="0" w:beforeAutospacing="0" w:after="0" w:afterAutospacing="0" w:line="340" w:lineRule="exact"/>
        <w:ind w:firstLine="420"/>
        <w:jc w:val="both"/>
        <w:rPr>
          <w:rFonts w:hint="eastAsia" w:ascii="黑体" w:hAnsi="黑体" w:eastAsia="黑体" w:cs="黑体"/>
          <w:b/>
          <w:sz w:val="32"/>
          <w:szCs w:val="32"/>
        </w:rPr>
      </w:pPr>
    </w:p>
    <w:p w14:paraId="0BE6838E">
      <w:pPr>
        <w:pStyle w:val="5"/>
        <w:widowControl/>
        <w:spacing w:before="0" w:beforeAutospacing="0" w:after="0" w:afterAutospacing="0" w:line="340" w:lineRule="exact"/>
        <w:ind w:firstLine="420"/>
        <w:jc w:val="both"/>
        <w:rPr>
          <w:rFonts w:hint="eastAsia" w:ascii="黑体" w:hAnsi="黑体" w:eastAsia="黑体" w:cs="黑体"/>
          <w:b/>
          <w:sz w:val="32"/>
          <w:szCs w:val="32"/>
        </w:rPr>
      </w:pPr>
    </w:p>
    <w:p w14:paraId="1703D7AC">
      <w:pPr>
        <w:pStyle w:val="5"/>
        <w:widowControl/>
        <w:spacing w:before="0" w:beforeAutospacing="0" w:after="0" w:afterAutospacing="0" w:line="340" w:lineRule="exact"/>
        <w:ind w:firstLine="420"/>
        <w:jc w:val="both"/>
        <w:rPr>
          <w:rFonts w:hint="eastAsia" w:ascii="黑体" w:hAnsi="黑体" w:eastAsia="黑体" w:cs="黑体"/>
          <w:b/>
          <w:sz w:val="32"/>
          <w:szCs w:val="32"/>
        </w:rPr>
      </w:pPr>
    </w:p>
    <w:p w14:paraId="4EC9BADD">
      <w:pPr>
        <w:pStyle w:val="5"/>
        <w:widowControl/>
        <w:spacing w:before="0" w:beforeAutospacing="0" w:after="0" w:afterAutospacing="0" w:line="340" w:lineRule="exact"/>
        <w:ind w:firstLine="420"/>
        <w:jc w:val="both"/>
        <w:rPr>
          <w:rFonts w:hint="eastAsia" w:ascii="黑体" w:hAnsi="黑体" w:eastAsia="黑体" w:cs="黑体"/>
          <w:b/>
          <w:sz w:val="32"/>
          <w:szCs w:val="32"/>
        </w:rPr>
      </w:pPr>
    </w:p>
    <w:p w14:paraId="2A4EF711">
      <w:pPr>
        <w:pStyle w:val="5"/>
        <w:widowControl/>
        <w:spacing w:before="0" w:beforeAutospacing="0" w:after="0" w:afterAutospacing="0" w:line="340" w:lineRule="exact"/>
        <w:ind w:firstLine="420"/>
        <w:jc w:val="both"/>
        <w:rPr>
          <w:rFonts w:hint="eastAsia" w:ascii="黑体" w:hAnsi="黑体" w:eastAsia="黑体" w:cs="黑体"/>
          <w:b/>
          <w:sz w:val="32"/>
          <w:szCs w:val="32"/>
        </w:rPr>
      </w:pPr>
    </w:p>
    <w:p w14:paraId="03F9B532">
      <w:pPr>
        <w:pStyle w:val="5"/>
        <w:widowControl/>
        <w:spacing w:before="0" w:beforeAutospacing="0" w:after="0" w:afterAutospacing="0" w:line="340" w:lineRule="exact"/>
        <w:ind w:firstLine="420"/>
        <w:jc w:val="both"/>
        <w:rPr>
          <w:rFonts w:hint="eastAsia" w:ascii="黑体" w:hAnsi="黑体" w:eastAsia="黑体" w:cs="黑体"/>
          <w:b/>
          <w:sz w:val="32"/>
          <w:szCs w:val="32"/>
        </w:rPr>
      </w:pPr>
    </w:p>
    <w:p w14:paraId="6615C32E">
      <w:pPr>
        <w:pStyle w:val="5"/>
        <w:widowControl/>
        <w:spacing w:before="0" w:beforeAutospacing="0" w:after="0" w:afterAutospacing="0" w:line="340" w:lineRule="exact"/>
        <w:ind w:firstLine="420"/>
        <w:jc w:val="both"/>
        <w:rPr>
          <w:rFonts w:hint="eastAsia" w:ascii="黑体" w:hAnsi="黑体" w:eastAsia="黑体" w:cs="黑体"/>
          <w:b/>
          <w:sz w:val="32"/>
          <w:szCs w:val="32"/>
        </w:rPr>
      </w:pPr>
    </w:p>
    <w:p w14:paraId="465B11E5">
      <w:pPr>
        <w:pStyle w:val="5"/>
        <w:widowControl/>
        <w:spacing w:before="0" w:beforeAutospacing="0" w:after="0" w:afterAutospacing="0" w:line="340" w:lineRule="exact"/>
        <w:ind w:firstLine="420"/>
        <w:jc w:val="both"/>
        <w:rPr>
          <w:rFonts w:hint="eastAsia" w:ascii="黑体" w:hAnsi="黑体" w:eastAsia="黑体" w:cs="黑体"/>
          <w:b/>
          <w:sz w:val="32"/>
          <w:szCs w:val="32"/>
        </w:rPr>
      </w:pPr>
    </w:p>
    <w:p w14:paraId="1C7688FD">
      <w:pPr>
        <w:pStyle w:val="5"/>
        <w:widowControl/>
        <w:spacing w:before="0" w:beforeAutospacing="0" w:after="0" w:afterAutospacing="0" w:line="340" w:lineRule="exact"/>
        <w:ind w:firstLine="420"/>
        <w:jc w:val="both"/>
        <w:rPr>
          <w:rFonts w:hint="eastAsia" w:ascii="黑体" w:hAnsi="黑体" w:eastAsia="黑体" w:cs="黑体"/>
          <w:b/>
          <w:sz w:val="32"/>
          <w:szCs w:val="32"/>
        </w:rPr>
      </w:pPr>
    </w:p>
    <w:p w14:paraId="52F94D84">
      <w:pPr>
        <w:pStyle w:val="5"/>
        <w:widowControl/>
        <w:spacing w:before="0" w:beforeAutospacing="0" w:after="0" w:afterAutospacing="0" w:line="340" w:lineRule="exact"/>
        <w:ind w:firstLine="420"/>
        <w:jc w:val="both"/>
        <w:rPr>
          <w:rFonts w:hint="eastAsia" w:ascii="黑体" w:hAnsi="黑体" w:eastAsia="黑体" w:cs="黑体"/>
          <w:b/>
          <w:sz w:val="32"/>
          <w:szCs w:val="32"/>
        </w:rPr>
      </w:pPr>
    </w:p>
    <w:p w14:paraId="6EAC70E5">
      <w:pPr>
        <w:pStyle w:val="5"/>
        <w:widowControl/>
        <w:spacing w:before="0" w:beforeAutospacing="0" w:after="0" w:afterAutospacing="0" w:line="340" w:lineRule="exact"/>
        <w:ind w:firstLine="420"/>
        <w:jc w:val="both"/>
        <w:rPr>
          <w:rFonts w:hint="eastAsia" w:ascii="黑体" w:hAnsi="黑体" w:eastAsia="黑体" w:cs="黑体"/>
          <w:b/>
          <w:sz w:val="32"/>
          <w:szCs w:val="32"/>
        </w:rPr>
      </w:pPr>
    </w:p>
    <w:p w14:paraId="6EBAAF5A">
      <w:pPr>
        <w:pStyle w:val="5"/>
        <w:widowControl/>
        <w:spacing w:before="0" w:beforeAutospacing="0" w:after="0" w:afterAutospacing="0" w:line="340" w:lineRule="exact"/>
        <w:ind w:firstLine="420"/>
        <w:jc w:val="both"/>
        <w:rPr>
          <w:rFonts w:hint="eastAsia" w:ascii="黑体" w:hAnsi="黑体" w:eastAsia="黑体" w:cs="黑体"/>
          <w:b/>
          <w:sz w:val="32"/>
          <w:szCs w:val="32"/>
        </w:rPr>
      </w:pPr>
    </w:p>
    <w:p w14:paraId="6444451C">
      <w:pPr>
        <w:pStyle w:val="5"/>
        <w:widowControl/>
        <w:spacing w:before="0" w:beforeAutospacing="0" w:after="0" w:afterAutospacing="0" w:line="340" w:lineRule="exact"/>
        <w:ind w:firstLine="636" w:firstLineChars="200"/>
        <w:jc w:val="both"/>
        <w:rPr>
          <w:rFonts w:hint="eastAsia" w:ascii="黑体" w:hAnsi="黑体" w:eastAsia="黑体" w:cs="黑体"/>
          <w:sz w:val="32"/>
          <w:szCs w:val="32"/>
        </w:rPr>
      </w:pPr>
      <w:r>
        <w:rPr>
          <w:rFonts w:hint="eastAsia" w:ascii="黑体" w:hAnsi="黑体" w:eastAsia="黑体" w:cs="黑体"/>
          <w:b/>
          <w:sz w:val="32"/>
          <w:szCs w:val="32"/>
        </w:rPr>
        <w:t>三、</w:t>
      </w:r>
      <w:r>
        <w:rPr>
          <w:rFonts w:hint="eastAsia" w:ascii="黑体" w:hAnsi="黑体" w:eastAsia="黑体" w:cs="黑体"/>
          <w:sz w:val="32"/>
          <w:szCs w:val="32"/>
        </w:rPr>
        <w:t>收到和处理政府信息公开申请情况</w:t>
      </w:r>
    </w:p>
    <w:tbl>
      <w:tblPr>
        <w:tblStyle w:val="6"/>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853"/>
        <w:gridCol w:w="1604"/>
        <w:gridCol w:w="1296"/>
        <w:gridCol w:w="755"/>
        <w:gridCol w:w="755"/>
        <w:gridCol w:w="814"/>
        <w:gridCol w:w="974"/>
        <w:gridCol w:w="403"/>
        <w:gridCol w:w="601"/>
      </w:tblGrid>
      <w:tr w14:paraId="3DA4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5" w:type="dxa"/>
            <w:gridSpan w:val="3"/>
            <w:vMerge w:val="restart"/>
            <w:tcBorders>
              <w:top w:val="single" w:color="auto" w:sz="4" w:space="0"/>
              <w:left w:val="single" w:color="auto" w:sz="4" w:space="0"/>
              <w:bottom w:val="single" w:color="auto" w:sz="4" w:space="0"/>
              <w:right w:val="single" w:color="auto" w:sz="4" w:space="0"/>
            </w:tcBorders>
            <w:vAlign w:val="center"/>
          </w:tcPr>
          <w:p w14:paraId="26CCEF3E">
            <w:pPr>
              <w:widowControl/>
              <w:spacing w:line="400" w:lineRule="exact"/>
              <w:jc w:val="center"/>
              <w:rPr>
                <w:szCs w:val="32"/>
              </w:rPr>
            </w:pPr>
            <w:r>
              <w:rPr>
                <w:rFonts w:hint="eastAsia" w:eastAsia="宋体"/>
                <w:sz w:val="20"/>
                <w:szCs w:val="20"/>
                <w:lang w:bidi="ar"/>
              </w:rPr>
              <w:t>（本列数据的勾稽关系为：第一项加第二项之和，等于第三项加第四项之和）</w:t>
            </w:r>
          </w:p>
        </w:tc>
        <w:tc>
          <w:tcPr>
            <w:tcW w:w="5598" w:type="dxa"/>
            <w:gridSpan w:val="7"/>
            <w:tcBorders>
              <w:top w:val="single" w:color="auto" w:sz="4" w:space="0"/>
              <w:left w:val="nil"/>
              <w:bottom w:val="single" w:color="auto" w:sz="4" w:space="0"/>
              <w:right w:val="single" w:color="auto" w:sz="4" w:space="0"/>
            </w:tcBorders>
            <w:vAlign w:val="center"/>
          </w:tcPr>
          <w:p w14:paraId="0B34F1BA">
            <w:pPr>
              <w:widowControl/>
              <w:spacing w:line="400" w:lineRule="exact"/>
              <w:jc w:val="center"/>
              <w:rPr>
                <w:szCs w:val="32"/>
              </w:rPr>
            </w:pPr>
            <w:r>
              <w:rPr>
                <w:rFonts w:hint="eastAsia" w:eastAsia="宋体"/>
                <w:sz w:val="20"/>
                <w:szCs w:val="20"/>
                <w:lang w:bidi="ar"/>
              </w:rPr>
              <w:t>申请人情况</w:t>
            </w:r>
          </w:p>
        </w:tc>
      </w:tr>
      <w:tr w14:paraId="6295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5" w:type="dxa"/>
            <w:gridSpan w:val="3"/>
            <w:vMerge w:val="continue"/>
            <w:tcBorders>
              <w:top w:val="single" w:color="auto" w:sz="4" w:space="0"/>
              <w:left w:val="single" w:color="auto" w:sz="4" w:space="0"/>
              <w:bottom w:val="single" w:color="auto" w:sz="4" w:space="0"/>
              <w:right w:val="single" w:color="auto" w:sz="4" w:space="0"/>
            </w:tcBorders>
            <w:vAlign w:val="center"/>
          </w:tcPr>
          <w:p w14:paraId="7BC1544F">
            <w:pPr>
              <w:spacing w:line="400" w:lineRule="exact"/>
              <w:rPr>
                <w:rFonts w:hint="eastAsia" w:ascii="宋体"/>
                <w:sz w:val="24"/>
              </w:rPr>
            </w:pPr>
          </w:p>
        </w:tc>
        <w:tc>
          <w:tcPr>
            <w:tcW w:w="1296" w:type="dxa"/>
            <w:vMerge w:val="restart"/>
            <w:tcBorders>
              <w:top w:val="nil"/>
              <w:left w:val="nil"/>
              <w:bottom w:val="single" w:color="auto" w:sz="4" w:space="0"/>
              <w:right w:val="single" w:color="auto" w:sz="4" w:space="0"/>
            </w:tcBorders>
            <w:vAlign w:val="center"/>
          </w:tcPr>
          <w:p w14:paraId="588E2149">
            <w:pPr>
              <w:widowControl/>
              <w:spacing w:line="400" w:lineRule="exact"/>
              <w:jc w:val="center"/>
              <w:rPr>
                <w:szCs w:val="32"/>
              </w:rPr>
            </w:pPr>
            <w:r>
              <w:rPr>
                <w:rFonts w:hint="eastAsia" w:eastAsia="宋体"/>
                <w:sz w:val="20"/>
                <w:szCs w:val="20"/>
                <w:lang w:bidi="ar"/>
              </w:rPr>
              <w:t>自然人</w:t>
            </w:r>
          </w:p>
        </w:tc>
        <w:tc>
          <w:tcPr>
            <w:tcW w:w="3701" w:type="dxa"/>
            <w:gridSpan w:val="5"/>
            <w:tcBorders>
              <w:top w:val="single" w:color="auto" w:sz="4" w:space="0"/>
              <w:left w:val="nil"/>
              <w:bottom w:val="single" w:color="auto" w:sz="4" w:space="0"/>
              <w:right w:val="single" w:color="auto" w:sz="4" w:space="0"/>
            </w:tcBorders>
            <w:vAlign w:val="center"/>
          </w:tcPr>
          <w:p w14:paraId="02263EFA">
            <w:pPr>
              <w:widowControl/>
              <w:spacing w:line="400" w:lineRule="exact"/>
              <w:jc w:val="center"/>
              <w:rPr>
                <w:szCs w:val="32"/>
              </w:rPr>
            </w:pPr>
            <w:r>
              <w:rPr>
                <w:rFonts w:hint="eastAsia" w:eastAsia="宋体"/>
                <w:sz w:val="20"/>
                <w:szCs w:val="20"/>
                <w:lang w:bidi="ar"/>
              </w:rPr>
              <w:t>法人或其他组织</w:t>
            </w:r>
          </w:p>
        </w:tc>
        <w:tc>
          <w:tcPr>
            <w:tcW w:w="601" w:type="dxa"/>
            <w:vMerge w:val="restart"/>
            <w:tcBorders>
              <w:top w:val="single" w:color="auto" w:sz="4" w:space="0"/>
              <w:left w:val="nil"/>
              <w:bottom w:val="single" w:color="auto" w:sz="4" w:space="0"/>
              <w:right w:val="single" w:color="auto" w:sz="4" w:space="0"/>
            </w:tcBorders>
            <w:vAlign w:val="center"/>
          </w:tcPr>
          <w:p w14:paraId="7B3A4969">
            <w:pPr>
              <w:widowControl/>
              <w:spacing w:line="400" w:lineRule="exact"/>
              <w:jc w:val="center"/>
              <w:rPr>
                <w:szCs w:val="32"/>
              </w:rPr>
            </w:pPr>
            <w:r>
              <w:rPr>
                <w:rFonts w:hint="eastAsia" w:eastAsia="宋体"/>
                <w:sz w:val="20"/>
                <w:szCs w:val="20"/>
                <w:lang w:bidi="ar"/>
              </w:rPr>
              <w:t>总计</w:t>
            </w:r>
          </w:p>
        </w:tc>
      </w:tr>
      <w:tr w14:paraId="1244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5" w:type="dxa"/>
            <w:gridSpan w:val="3"/>
            <w:vMerge w:val="continue"/>
            <w:tcBorders>
              <w:top w:val="single" w:color="auto" w:sz="4" w:space="0"/>
              <w:left w:val="single" w:color="auto" w:sz="4" w:space="0"/>
              <w:bottom w:val="single" w:color="auto" w:sz="4" w:space="0"/>
              <w:right w:val="single" w:color="auto" w:sz="4" w:space="0"/>
            </w:tcBorders>
            <w:vAlign w:val="center"/>
          </w:tcPr>
          <w:p w14:paraId="3F5A7BF7">
            <w:pPr>
              <w:spacing w:line="400" w:lineRule="exact"/>
              <w:rPr>
                <w:rFonts w:hint="eastAsia" w:ascii="宋体"/>
                <w:sz w:val="24"/>
              </w:rPr>
            </w:pPr>
          </w:p>
        </w:tc>
        <w:tc>
          <w:tcPr>
            <w:tcW w:w="1296" w:type="dxa"/>
            <w:vMerge w:val="continue"/>
            <w:tcBorders>
              <w:top w:val="nil"/>
              <w:left w:val="nil"/>
              <w:bottom w:val="single" w:color="auto" w:sz="4" w:space="0"/>
              <w:right w:val="single" w:color="auto" w:sz="4" w:space="0"/>
            </w:tcBorders>
            <w:vAlign w:val="center"/>
          </w:tcPr>
          <w:p w14:paraId="2F2E156B">
            <w:pPr>
              <w:spacing w:line="400" w:lineRule="exact"/>
              <w:rPr>
                <w:rFonts w:hint="eastAsia" w:ascii="宋体"/>
                <w:sz w:val="24"/>
              </w:rPr>
            </w:pPr>
          </w:p>
        </w:tc>
        <w:tc>
          <w:tcPr>
            <w:tcW w:w="755" w:type="dxa"/>
            <w:tcBorders>
              <w:top w:val="single" w:color="auto" w:sz="4" w:space="0"/>
              <w:left w:val="nil"/>
              <w:bottom w:val="single" w:color="auto" w:sz="4" w:space="0"/>
              <w:right w:val="single" w:color="auto" w:sz="4" w:space="0"/>
            </w:tcBorders>
            <w:vAlign w:val="center"/>
          </w:tcPr>
          <w:p w14:paraId="3312AF65">
            <w:pPr>
              <w:widowControl/>
              <w:spacing w:line="400" w:lineRule="exact"/>
              <w:jc w:val="center"/>
              <w:rPr>
                <w:szCs w:val="32"/>
              </w:rPr>
            </w:pPr>
            <w:r>
              <w:rPr>
                <w:rFonts w:hint="eastAsia" w:eastAsia="宋体"/>
                <w:sz w:val="20"/>
                <w:szCs w:val="20"/>
                <w:lang w:bidi="ar"/>
              </w:rPr>
              <w:t>商业企业</w:t>
            </w:r>
          </w:p>
        </w:tc>
        <w:tc>
          <w:tcPr>
            <w:tcW w:w="755" w:type="dxa"/>
            <w:tcBorders>
              <w:top w:val="single" w:color="auto" w:sz="4" w:space="0"/>
              <w:left w:val="nil"/>
              <w:bottom w:val="single" w:color="auto" w:sz="4" w:space="0"/>
              <w:right w:val="single" w:color="auto" w:sz="4" w:space="0"/>
            </w:tcBorders>
            <w:vAlign w:val="center"/>
          </w:tcPr>
          <w:p w14:paraId="241A8C42">
            <w:pPr>
              <w:widowControl/>
              <w:spacing w:line="400" w:lineRule="exact"/>
              <w:jc w:val="center"/>
              <w:rPr>
                <w:szCs w:val="32"/>
              </w:rPr>
            </w:pPr>
            <w:r>
              <w:rPr>
                <w:rFonts w:hint="eastAsia" w:eastAsia="宋体"/>
                <w:sz w:val="20"/>
                <w:szCs w:val="20"/>
                <w:lang w:bidi="ar"/>
              </w:rPr>
              <w:t>科研机构</w:t>
            </w:r>
          </w:p>
        </w:tc>
        <w:tc>
          <w:tcPr>
            <w:tcW w:w="814" w:type="dxa"/>
            <w:tcBorders>
              <w:top w:val="single" w:color="auto" w:sz="4" w:space="0"/>
              <w:left w:val="nil"/>
              <w:bottom w:val="single" w:color="auto" w:sz="4" w:space="0"/>
              <w:right w:val="single" w:color="auto" w:sz="4" w:space="0"/>
            </w:tcBorders>
            <w:vAlign w:val="center"/>
          </w:tcPr>
          <w:p w14:paraId="44DA5AA1">
            <w:pPr>
              <w:widowControl/>
              <w:spacing w:line="400" w:lineRule="exact"/>
              <w:jc w:val="center"/>
              <w:rPr>
                <w:szCs w:val="32"/>
              </w:rPr>
            </w:pPr>
            <w:r>
              <w:rPr>
                <w:rFonts w:hint="eastAsia" w:eastAsia="宋体"/>
                <w:sz w:val="20"/>
                <w:szCs w:val="20"/>
                <w:lang w:bidi="ar"/>
              </w:rPr>
              <w:t>社会公益组织</w:t>
            </w:r>
          </w:p>
        </w:tc>
        <w:tc>
          <w:tcPr>
            <w:tcW w:w="974" w:type="dxa"/>
            <w:tcBorders>
              <w:top w:val="single" w:color="auto" w:sz="4" w:space="0"/>
              <w:left w:val="nil"/>
              <w:bottom w:val="single" w:color="auto" w:sz="4" w:space="0"/>
              <w:right w:val="single" w:color="auto" w:sz="4" w:space="0"/>
            </w:tcBorders>
            <w:vAlign w:val="center"/>
          </w:tcPr>
          <w:p w14:paraId="4F2CDBCD">
            <w:pPr>
              <w:widowControl/>
              <w:spacing w:line="400" w:lineRule="exact"/>
              <w:jc w:val="center"/>
              <w:rPr>
                <w:szCs w:val="32"/>
              </w:rPr>
            </w:pPr>
            <w:r>
              <w:rPr>
                <w:rFonts w:hint="eastAsia" w:eastAsia="宋体"/>
                <w:sz w:val="20"/>
                <w:szCs w:val="20"/>
                <w:lang w:bidi="ar"/>
              </w:rPr>
              <w:t>法律服务机构</w:t>
            </w:r>
          </w:p>
        </w:tc>
        <w:tc>
          <w:tcPr>
            <w:tcW w:w="403" w:type="dxa"/>
            <w:tcBorders>
              <w:top w:val="single" w:color="auto" w:sz="4" w:space="0"/>
              <w:left w:val="nil"/>
              <w:bottom w:val="single" w:color="auto" w:sz="4" w:space="0"/>
              <w:right w:val="single" w:color="auto" w:sz="4" w:space="0"/>
            </w:tcBorders>
            <w:vAlign w:val="center"/>
          </w:tcPr>
          <w:p w14:paraId="4CA1A6D5">
            <w:pPr>
              <w:widowControl/>
              <w:spacing w:line="400" w:lineRule="exact"/>
              <w:jc w:val="center"/>
              <w:rPr>
                <w:szCs w:val="32"/>
              </w:rPr>
            </w:pPr>
            <w:r>
              <w:rPr>
                <w:rFonts w:hint="eastAsia" w:eastAsia="宋体"/>
                <w:sz w:val="20"/>
                <w:szCs w:val="20"/>
                <w:lang w:bidi="ar"/>
              </w:rPr>
              <w:t>其他</w:t>
            </w:r>
          </w:p>
        </w:tc>
        <w:tc>
          <w:tcPr>
            <w:tcW w:w="601" w:type="dxa"/>
            <w:vMerge w:val="continue"/>
            <w:tcBorders>
              <w:top w:val="single" w:color="auto" w:sz="4" w:space="0"/>
              <w:left w:val="nil"/>
              <w:bottom w:val="single" w:color="auto" w:sz="4" w:space="0"/>
              <w:right w:val="single" w:color="auto" w:sz="4" w:space="0"/>
            </w:tcBorders>
            <w:vAlign w:val="center"/>
          </w:tcPr>
          <w:p w14:paraId="231C591B">
            <w:pPr>
              <w:spacing w:line="400" w:lineRule="exact"/>
              <w:rPr>
                <w:rFonts w:hint="eastAsia" w:ascii="宋体"/>
                <w:sz w:val="24"/>
              </w:rPr>
            </w:pPr>
          </w:p>
        </w:tc>
      </w:tr>
      <w:tr w14:paraId="5ACD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5" w:type="dxa"/>
            <w:gridSpan w:val="3"/>
            <w:tcBorders>
              <w:top w:val="single" w:color="auto" w:sz="4" w:space="0"/>
              <w:left w:val="single" w:color="auto" w:sz="4" w:space="0"/>
              <w:bottom w:val="single" w:color="auto" w:sz="4" w:space="0"/>
              <w:right w:val="single" w:color="auto" w:sz="4" w:space="0"/>
            </w:tcBorders>
            <w:vAlign w:val="center"/>
          </w:tcPr>
          <w:p w14:paraId="20F7D2B5">
            <w:pPr>
              <w:widowControl/>
              <w:spacing w:line="400" w:lineRule="exact"/>
              <w:jc w:val="left"/>
              <w:rPr>
                <w:szCs w:val="32"/>
              </w:rPr>
            </w:pPr>
            <w:r>
              <w:rPr>
                <w:rFonts w:hint="eastAsia" w:eastAsia="宋体"/>
                <w:sz w:val="20"/>
                <w:szCs w:val="20"/>
                <w:lang w:bidi="ar"/>
              </w:rPr>
              <w:t>一、本年新收政府信息公开申请数量</w:t>
            </w:r>
          </w:p>
        </w:tc>
        <w:tc>
          <w:tcPr>
            <w:tcW w:w="1296" w:type="dxa"/>
            <w:tcBorders>
              <w:top w:val="single" w:color="auto" w:sz="4" w:space="0"/>
              <w:left w:val="nil"/>
              <w:bottom w:val="single" w:color="auto" w:sz="4" w:space="0"/>
              <w:right w:val="single" w:color="auto" w:sz="4" w:space="0"/>
            </w:tcBorders>
            <w:vAlign w:val="center"/>
          </w:tcPr>
          <w:p w14:paraId="111B80C8">
            <w:pPr>
              <w:widowControl/>
              <w:spacing w:line="400" w:lineRule="exact"/>
              <w:jc w:val="center"/>
              <w:rPr>
                <w:rFonts w:hint="eastAsia" w:eastAsia="宋体"/>
                <w:szCs w:val="32"/>
                <w:lang w:val="en-US" w:eastAsia="zh-CN"/>
              </w:rPr>
            </w:pPr>
            <w:r>
              <w:rPr>
                <w:rFonts w:hint="eastAsia" w:eastAsia="宋体"/>
                <w:sz w:val="20"/>
                <w:szCs w:val="20"/>
                <w:lang w:val="en-US" w:eastAsia="zh-CN" w:bidi="ar"/>
              </w:rPr>
              <w:t>50</w:t>
            </w:r>
          </w:p>
        </w:tc>
        <w:tc>
          <w:tcPr>
            <w:tcW w:w="755" w:type="dxa"/>
            <w:tcBorders>
              <w:top w:val="single" w:color="auto" w:sz="4" w:space="0"/>
              <w:left w:val="nil"/>
              <w:bottom w:val="single" w:color="auto" w:sz="4" w:space="0"/>
              <w:right w:val="single" w:color="auto" w:sz="4" w:space="0"/>
            </w:tcBorders>
            <w:vAlign w:val="center"/>
          </w:tcPr>
          <w:p w14:paraId="06C0A2F1">
            <w:pPr>
              <w:widowControl/>
              <w:spacing w:line="400" w:lineRule="exact"/>
              <w:jc w:val="center"/>
              <w:rPr>
                <w:szCs w:val="32"/>
              </w:rPr>
            </w:pPr>
            <w:r>
              <w:rPr>
                <w:rFonts w:eastAsia="宋体"/>
                <w:sz w:val="20"/>
                <w:szCs w:val="20"/>
                <w:lang w:bidi="ar"/>
              </w:rPr>
              <w:t> </w:t>
            </w:r>
            <w:r>
              <w:rPr>
                <w:rFonts w:hint="eastAsia" w:eastAsia="宋体"/>
                <w:sz w:val="20"/>
                <w:szCs w:val="20"/>
                <w:lang w:bidi="ar"/>
              </w:rPr>
              <w:t>1</w:t>
            </w:r>
          </w:p>
        </w:tc>
        <w:tc>
          <w:tcPr>
            <w:tcW w:w="755" w:type="dxa"/>
            <w:tcBorders>
              <w:top w:val="single" w:color="auto" w:sz="4" w:space="0"/>
              <w:left w:val="nil"/>
              <w:bottom w:val="single" w:color="auto" w:sz="4" w:space="0"/>
              <w:right w:val="single" w:color="auto" w:sz="4" w:space="0"/>
            </w:tcBorders>
            <w:vAlign w:val="center"/>
          </w:tcPr>
          <w:p w14:paraId="106B2249">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14:paraId="01B34CF7">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08EFE99D">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c>
          <w:tcPr>
            <w:tcW w:w="403" w:type="dxa"/>
            <w:tcBorders>
              <w:top w:val="single" w:color="auto" w:sz="4" w:space="0"/>
              <w:left w:val="nil"/>
              <w:bottom w:val="single" w:color="auto" w:sz="4" w:space="0"/>
              <w:right w:val="single" w:color="auto" w:sz="4" w:space="0"/>
            </w:tcBorders>
            <w:vAlign w:val="center"/>
          </w:tcPr>
          <w:p w14:paraId="2138DE2A">
            <w:pPr>
              <w:widowControl/>
              <w:spacing w:line="400" w:lineRule="exact"/>
              <w:jc w:val="center"/>
              <w:rPr>
                <w:rFonts w:hint="eastAsia" w:eastAsia="宋体"/>
                <w:szCs w:val="32"/>
                <w:lang w:eastAsia="zh-CN"/>
              </w:rPr>
            </w:pPr>
            <w:r>
              <w:rPr>
                <w:rFonts w:hint="eastAsia" w:eastAsia="宋体"/>
                <w:sz w:val="20"/>
                <w:szCs w:val="20"/>
                <w:lang w:val="en-US" w:eastAsia="zh-CN" w:bidi="ar"/>
              </w:rPr>
              <w:t>1</w:t>
            </w:r>
          </w:p>
        </w:tc>
        <w:tc>
          <w:tcPr>
            <w:tcW w:w="601" w:type="dxa"/>
            <w:tcBorders>
              <w:top w:val="single" w:color="auto" w:sz="4" w:space="0"/>
              <w:left w:val="nil"/>
              <w:bottom w:val="single" w:color="auto" w:sz="4" w:space="0"/>
              <w:right w:val="single" w:color="auto" w:sz="4" w:space="0"/>
            </w:tcBorders>
            <w:vAlign w:val="center"/>
          </w:tcPr>
          <w:p w14:paraId="70D84D09">
            <w:pPr>
              <w:widowControl/>
              <w:spacing w:line="400" w:lineRule="exact"/>
              <w:jc w:val="center"/>
              <w:rPr>
                <w:szCs w:val="32"/>
              </w:rPr>
            </w:pPr>
            <w:r>
              <w:rPr>
                <w:rFonts w:hint="eastAsia" w:eastAsia="宋体"/>
                <w:sz w:val="20"/>
                <w:szCs w:val="20"/>
                <w:lang w:bidi="ar"/>
              </w:rPr>
              <w:t>52</w:t>
            </w:r>
          </w:p>
        </w:tc>
      </w:tr>
      <w:tr w14:paraId="08E7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5" w:type="dxa"/>
            <w:gridSpan w:val="3"/>
            <w:tcBorders>
              <w:top w:val="single" w:color="auto" w:sz="4" w:space="0"/>
              <w:left w:val="single" w:color="auto" w:sz="4" w:space="0"/>
              <w:bottom w:val="single" w:color="auto" w:sz="4" w:space="0"/>
              <w:right w:val="single" w:color="auto" w:sz="4" w:space="0"/>
            </w:tcBorders>
            <w:vAlign w:val="center"/>
          </w:tcPr>
          <w:p w14:paraId="49A457F8">
            <w:pPr>
              <w:widowControl/>
              <w:spacing w:line="400" w:lineRule="exact"/>
              <w:jc w:val="left"/>
              <w:rPr>
                <w:szCs w:val="32"/>
              </w:rPr>
            </w:pPr>
            <w:r>
              <w:rPr>
                <w:rFonts w:hint="eastAsia" w:eastAsia="宋体"/>
                <w:sz w:val="20"/>
                <w:szCs w:val="20"/>
                <w:lang w:bidi="ar"/>
              </w:rPr>
              <w:t>二、上年结转政府信息公开申请数量</w:t>
            </w:r>
          </w:p>
        </w:tc>
        <w:tc>
          <w:tcPr>
            <w:tcW w:w="1296" w:type="dxa"/>
            <w:tcBorders>
              <w:top w:val="single" w:color="auto" w:sz="4" w:space="0"/>
              <w:left w:val="nil"/>
              <w:bottom w:val="single" w:color="auto" w:sz="4" w:space="0"/>
              <w:right w:val="single" w:color="auto" w:sz="4" w:space="0"/>
            </w:tcBorders>
            <w:vAlign w:val="center"/>
          </w:tcPr>
          <w:p w14:paraId="2CAD39AA">
            <w:pPr>
              <w:widowControl/>
              <w:spacing w:line="400" w:lineRule="exact"/>
              <w:jc w:val="center"/>
              <w:rPr>
                <w:szCs w:val="32"/>
              </w:rPr>
            </w:pPr>
            <w:r>
              <w:rPr>
                <w:rFonts w:eastAsia="宋体"/>
                <w:sz w:val="20"/>
                <w:szCs w:val="20"/>
                <w:lang w:bidi="ar"/>
              </w:rPr>
              <w:t> </w:t>
            </w:r>
            <w:r>
              <w:rPr>
                <w:rFonts w:hint="eastAsia" w:eastAsia="宋体"/>
                <w:sz w:val="20"/>
                <w:szCs w:val="20"/>
                <w:lang w:bidi="ar"/>
              </w:rPr>
              <w:t>1</w:t>
            </w:r>
          </w:p>
        </w:tc>
        <w:tc>
          <w:tcPr>
            <w:tcW w:w="755" w:type="dxa"/>
            <w:tcBorders>
              <w:top w:val="single" w:color="auto" w:sz="4" w:space="0"/>
              <w:left w:val="nil"/>
              <w:bottom w:val="single" w:color="auto" w:sz="4" w:space="0"/>
              <w:right w:val="single" w:color="auto" w:sz="4" w:space="0"/>
            </w:tcBorders>
            <w:vAlign w:val="center"/>
          </w:tcPr>
          <w:p w14:paraId="1C6331D0">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c>
          <w:tcPr>
            <w:tcW w:w="755" w:type="dxa"/>
            <w:tcBorders>
              <w:top w:val="single" w:color="auto" w:sz="4" w:space="0"/>
              <w:left w:val="nil"/>
              <w:bottom w:val="single" w:color="auto" w:sz="4" w:space="0"/>
              <w:right w:val="single" w:color="auto" w:sz="4" w:space="0"/>
            </w:tcBorders>
            <w:vAlign w:val="center"/>
          </w:tcPr>
          <w:p w14:paraId="403022A3">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14:paraId="5B25D919">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2CA0218B">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14:paraId="58C7495E">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c>
          <w:tcPr>
            <w:tcW w:w="601" w:type="dxa"/>
            <w:tcBorders>
              <w:top w:val="single" w:color="auto" w:sz="4" w:space="0"/>
              <w:left w:val="nil"/>
              <w:bottom w:val="single" w:color="auto" w:sz="4" w:space="0"/>
              <w:right w:val="single" w:color="auto" w:sz="4" w:space="0"/>
            </w:tcBorders>
            <w:vAlign w:val="center"/>
          </w:tcPr>
          <w:p w14:paraId="76795FBC">
            <w:pPr>
              <w:widowControl/>
              <w:spacing w:line="400" w:lineRule="exact"/>
              <w:jc w:val="center"/>
              <w:rPr>
                <w:szCs w:val="32"/>
              </w:rPr>
            </w:pPr>
            <w:r>
              <w:rPr>
                <w:rFonts w:hint="eastAsia" w:eastAsia="宋体"/>
                <w:sz w:val="20"/>
                <w:szCs w:val="20"/>
                <w:lang w:bidi="ar"/>
              </w:rPr>
              <w:t>1</w:t>
            </w:r>
            <w:r>
              <w:rPr>
                <w:rFonts w:eastAsia="宋体"/>
                <w:sz w:val="20"/>
                <w:szCs w:val="20"/>
                <w:lang w:bidi="ar"/>
              </w:rPr>
              <w:t> </w:t>
            </w:r>
          </w:p>
        </w:tc>
      </w:tr>
      <w:tr w14:paraId="10D4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restart"/>
            <w:tcBorders>
              <w:top w:val="nil"/>
              <w:left w:val="single" w:color="auto" w:sz="4" w:space="0"/>
              <w:bottom w:val="single" w:color="auto" w:sz="4" w:space="0"/>
              <w:right w:val="single" w:color="auto" w:sz="4" w:space="0"/>
            </w:tcBorders>
            <w:vAlign w:val="center"/>
          </w:tcPr>
          <w:p w14:paraId="67105BBF">
            <w:pPr>
              <w:widowControl/>
              <w:spacing w:line="400" w:lineRule="exact"/>
              <w:jc w:val="center"/>
              <w:rPr>
                <w:szCs w:val="32"/>
              </w:rPr>
            </w:pPr>
            <w:r>
              <w:rPr>
                <w:rFonts w:hint="eastAsia" w:eastAsia="宋体"/>
                <w:sz w:val="20"/>
                <w:szCs w:val="20"/>
                <w:lang w:bidi="ar"/>
              </w:rPr>
              <w:t>三、本年度办理结果</w:t>
            </w:r>
          </w:p>
        </w:tc>
        <w:tc>
          <w:tcPr>
            <w:tcW w:w="2457" w:type="dxa"/>
            <w:gridSpan w:val="2"/>
            <w:tcBorders>
              <w:top w:val="single" w:color="auto" w:sz="4" w:space="0"/>
              <w:left w:val="nil"/>
              <w:bottom w:val="single" w:color="auto" w:sz="4" w:space="0"/>
              <w:right w:val="single" w:color="auto" w:sz="4" w:space="0"/>
            </w:tcBorders>
            <w:vAlign w:val="center"/>
          </w:tcPr>
          <w:p w14:paraId="4DC98155">
            <w:pPr>
              <w:widowControl/>
              <w:spacing w:line="400" w:lineRule="exact"/>
              <w:jc w:val="left"/>
              <w:rPr>
                <w:szCs w:val="32"/>
              </w:rPr>
            </w:pPr>
            <w:r>
              <w:rPr>
                <w:rFonts w:ascii="楷体" w:hAnsi="楷体" w:eastAsia="楷体" w:cs="楷体"/>
                <w:sz w:val="20"/>
                <w:szCs w:val="20"/>
                <w:lang w:bidi="ar"/>
              </w:rPr>
              <w:t>（一）予以公开</w:t>
            </w:r>
          </w:p>
        </w:tc>
        <w:tc>
          <w:tcPr>
            <w:tcW w:w="1296" w:type="dxa"/>
            <w:tcBorders>
              <w:top w:val="single" w:color="auto" w:sz="4" w:space="0"/>
              <w:left w:val="nil"/>
              <w:bottom w:val="single" w:color="auto" w:sz="4" w:space="0"/>
              <w:right w:val="single" w:color="auto" w:sz="4" w:space="0"/>
            </w:tcBorders>
            <w:vAlign w:val="center"/>
          </w:tcPr>
          <w:p w14:paraId="4E3AFDD9">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33</w:t>
            </w:r>
          </w:p>
        </w:tc>
        <w:tc>
          <w:tcPr>
            <w:tcW w:w="755" w:type="dxa"/>
            <w:tcBorders>
              <w:top w:val="single" w:color="auto" w:sz="4" w:space="0"/>
              <w:left w:val="nil"/>
              <w:bottom w:val="single" w:color="auto" w:sz="4" w:space="0"/>
              <w:right w:val="single" w:color="auto" w:sz="4" w:space="0"/>
            </w:tcBorders>
            <w:vAlign w:val="center"/>
          </w:tcPr>
          <w:p w14:paraId="150B9653">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2E7AA97F">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14:paraId="5FB1F849">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974" w:type="dxa"/>
            <w:tcBorders>
              <w:top w:val="single" w:color="auto" w:sz="4" w:space="0"/>
              <w:left w:val="nil"/>
              <w:bottom w:val="single" w:color="auto" w:sz="4" w:space="0"/>
              <w:right w:val="single" w:color="auto" w:sz="4" w:space="0"/>
            </w:tcBorders>
            <w:vAlign w:val="center"/>
          </w:tcPr>
          <w:p w14:paraId="335E1753">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14:paraId="5E36D43B">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1</w:t>
            </w:r>
          </w:p>
        </w:tc>
        <w:tc>
          <w:tcPr>
            <w:tcW w:w="601" w:type="dxa"/>
            <w:tcBorders>
              <w:top w:val="single" w:color="auto" w:sz="4" w:space="0"/>
              <w:left w:val="nil"/>
              <w:bottom w:val="single" w:color="auto" w:sz="4" w:space="0"/>
              <w:right w:val="single" w:color="auto" w:sz="4" w:space="0"/>
            </w:tcBorders>
            <w:vAlign w:val="center"/>
          </w:tcPr>
          <w:p w14:paraId="2C1E8A57">
            <w:pPr>
              <w:widowControl/>
              <w:spacing w:line="400" w:lineRule="exact"/>
              <w:jc w:val="center"/>
              <w:rPr>
                <w:szCs w:val="32"/>
              </w:rPr>
            </w:pPr>
            <w:r>
              <w:rPr>
                <w:rFonts w:eastAsia="宋体"/>
                <w:sz w:val="20"/>
                <w:szCs w:val="20"/>
                <w:lang w:bidi="ar"/>
              </w:rPr>
              <w:t> </w:t>
            </w:r>
            <w:r>
              <w:rPr>
                <w:rFonts w:hint="eastAsia" w:eastAsia="宋体"/>
                <w:sz w:val="20"/>
                <w:szCs w:val="20"/>
                <w:lang w:bidi="ar"/>
              </w:rPr>
              <w:t>34</w:t>
            </w:r>
          </w:p>
        </w:tc>
      </w:tr>
      <w:tr w14:paraId="0F13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1C456BBE">
            <w:pPr>
              <w:spacing w:line="400" w:lineRule="exact"/>
              <w:rPr>
                <w:rFonts w:hint="eastAsia" w:ascii="宋体"/>
                <w:sz w:val="24"/>
              </w:rPr>
            </w:pPr>
          </w:p>
        </w:tc>
        <w:tc>
          <w:tcPr>
            <w:tcW w:w="2457" w:type="dxa"/>
            <w:gridSpan w:val="2"/>
            <w:tcBorders>
              <w:top w:val="single" w:color="auto" w:sz="4" w:space="0"/>
              <w:left w:val="nil"/>
              <w:bottom w:val="single" w:color="auto" w:sz="4" w:space="0"/>
              <w:right w:val="single" w:color="auto" w:sz="4" w:space="0"/>
            </w:tcBorders>
            <w:vAlign w:val="center"/>
          </w:tcPr>
          <w:p w14:paraId="5501F946">
            <w:pPr>
              <w:widowControl/>
              <w:spacing w:line="400" w:lineRule="exact"/>
              <w:jc w:val="left"/>
              <w:rPr>
                <w:szCs w:val="32"/>
              </w:rPr>
            </w:pPr>
            <w:r>
              <w:rPr>
                <w:rFonts w:hint="eastAsia" w:ascii="楷体" w:hAnsi="楷体" w:eastAsia="楷体" w:cs="楷体"/>
                <w:sz w:val="20"/>
                <w:szCs w:val="20"/>
                <w:lang w:bidi="ar"/>
              </w:rPr>
              <w:t>（二）部分公开（区分处理的，只计这一情形，不计其他情形）</w:t>
            </w:r>
          </w:p>
        </w:tc>
        <w:tc>
          <w:tcPr>
            <w:tcW w:w="1296" w:type="dxa"/>
            <w:tcBorders>
              <w:top w:val="single" w:color="auto" w:sz="4" w:space="0"/>
              <w:left w:val="nil"/>
              <w:bottom w:val="single" w:color="auto" w:sz="4" w:space="0"/>
              <w:right w:val="single" w:color="auto" w:sz="4" w:space="0"/>
            </w:tcBorders>
            <w:vAlign w:val="center"/>
          </w:tcPr>
          <w:p w14:paraId="4AA3E1D6">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2</w:t>
            </w:r>
          </w:p>
        </w:tc>
        <w:tc>
          <w:tcPr>
            <w:tcW w:w="755" w:type="dxa"/>
            <w:tcBorders>
              <w:top w:val="single" w:color="auto" w:sz="4" w:space="0"/>
              <w:left w:val="nil"/>
              <w:bottom w:val="single" w:color="auto" w:sz="4" w:space="0"/>
              <w:right w:val="single" w:color="auto" w:sz="4" w:space="0"/>
            </w:tcBorders>
            <w:vAlign w:val="center"/>
          </w:tcPr>
          <w:p w14:paraId="1DC1266D">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14:paraId="3BAF4C18">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14:paraId="5F0811B4">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60ED62DD">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14:paraId="132CEF46">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14:paraId="41EE73BD">
            <w:pPr>
              <w:widowControl/>
              <w:spacing w:line="400" w:lineRule="exact"/>
              <w:jc w:val="center"/>
              <w:rPr>
                <w:szCs w:val="32"/>
              </w:rPr>
            </w:pPr>
            <w:r>
              <w:rPr>
                <w:rFonts w:hint="eastAsia" w:eastAsia="宋体"/>
                <w:sz w:val="20"/>
                <w:szCs w:val="20"/>
                <w:lang w:bidi="ar"/>
              </w:rPr>
              <w:t>2</w:t>
            </w:r>
            <w:r>
              <w:rPr>
                <w:rFonts w:eastAsia="宋体"/>
                <w:sz w:val="20"/>
                <w:szCs w:val="20"/>
                <w:lang w:bidi="ar"/>
              </w:rPr>
              <w:t> </w:t>
            </w:r>
          </w:p>
        </w:tc>
      </w:tr>
      <w:tr w14:paraId="0E65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51315533">
            <w:pPr>
              <w:spacing w:line="400" w:lineRule="exact"/>
              <w:rPr>
                <w:rFonts w:hint="eastAsia" w:ascii="宋体"/>
                <w:sz w:val="24"/>
              </w:rPr>
            </w:pPr>
          </w:p>
        </w:tc>
        <w:tc>
          <w:tcPr>
            <w:tcW w:w="853" w:type="dxa"/>
            <w:vMerge w:val="restart"/>
            <w:tcBorders>
              <w:top w:val="nil"/>
              <w:left w:val="nil"/>
              <w:bottom w:val="single" w:color="auto" w:sz="4" w:space="0"/>
              <w:right w:val="single" w:color="auto" w:sz="4" w:space="0"/>
            </w:tcBorders>
            <w:vAlign w:val="center"/>
          </w:tcPr>
          <w:p w14:paraId="1CF4D100">
            <w:pPr>
              <w:widowControl/>
              <w:spacing w:line="400" w:lineRule="exact"/>
              <w:jc w:val="left"/>
              <w:rPr>
                <w:szCs w:val="32"/>
              </w:rPr>
            </w:pPr>
            <w:r>
              <w:rPr>
                <w:rFonts w:hint="eastAsia" w:ascii="楷体" w:hAnsi="楷体" w:eastAsia="楷体" w:cs="楷体"/>
                <w:sz w:val="20"/>
                <w:szCs w:val="20"/>
                <w:lang w:bidi="ar"/>
              </w:rPr>
              <w:t>（三）不予公开</w:t>
            </w:r>
          </w:p>
        </w:tc>
        <w:tc>
          <w:tcPr>
            <w:tcW w:w="1604" w:type="dxa"/>
            <w:tcBorders>
              <w:top w:val="single" w:color="auto" w:sz="4" w:space="0"/>
              <w:left w:val="nil"/>
              <w:bottom w:val="single" w:color="auto" w:sz="4" w:space="0"/>
              <w:right w:val="single" w:color="auto" w:sz="4" w:space="0"/>
            </w:tcBorders>
            <w:vAlign w:val="center"/>
          </w:tcPr>
          <w:p w14:paraId="2EA1159C">
            <w:pPr>
              <w:widowControl/>
              <w:spacing w:line="400" w:lineRule="exact"/>
              <w:jc w:val="left"/>
              <w:rPr>
                <w:szCs w:val="32"/>
              </w:rPr>
            </w:pPr>
            <w:r>
              <w:rPr>
                <w:rFonts w:hint="eastAsia" w:ascii="楷体" w:hAnsi="楷体" w:eastAsia="楷体" w:cs="楷体"/>
                <w:sz w:val="20"/>
                <w:szCs w:val="20"/>
                <w:lang w:bidi="ar"/>
              </w:rPr>
              <w:t>1.属于国家秘密</w:t>
            </w:r>
          </w:p>
        </w:tc>
        <w:tc>
          <w:tcPr>
            <w:tcW w:w="1296" w:type="dxa"/>
            <w:tcBorders>
              <w:top w:val="single" w:color="auto" w:sz="4" w:space="0"/>
              <w:left w:val="nil"/>
              <w:bottom w:val="single" w:color="auto" w:sz="4" w:space="0"/>
              <w:right w:val="single" w:color="auto" w:sz="4" w:space="0"/>
            </w:tcBorders>
            <w:vAlign w:val="center"/>
          </w:tcPr>
          <w:p w14:paraId="5D9044D7">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3F6977C3">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14:paraId="26CF90E0">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14:paraId="155BDDCE">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06BA57F3">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14:paraId="5F715900">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14:paraId="5275F14C">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14:paraId="0D79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6BE91AFC">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14:paraId="39F74912">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14:paraId="3BCFED81">
            <w:pPr>
              <w:widowControl/>
              <w:spacing w:line="400" w:lineRule="exact"/>
              <w:jc w:val="left"/>
              <w:rPr>
                <w:szCs w:val="32"/>
              </w:rPr>
            </w:pPr>
            <w:r>
              <w:rPr>
                <w:rFonts w:hint="eastAsia" w:ascii="楷体" w:hAnsi="楷体" w:eastAsia="楷体" w:cs="楷体"/>
                <w:sz w:val="20"/>
                <w:szCs w:val="20"/>
                <w:lang w:bidi="ar"/>
              </w:rPr>
              <w:t>2.其他法律行政法规禁止公开</w:t>
            </w:r>
          </w:p>
        </w:tc>
        <w:tc>
          <w:tcPr>
            <w:tcW w:w="1296" w:type="dxa"/>
            <w:tcBorders>
              <w:top w:val="single" w:color="auto" w:sz="4" w:space="0"/>
              <w:left w:val="nil"/>
              <w:bottom w:val="single" w:color="auto" w:sz="4" w:space="0"/>
              <w:right w:val="single" w:color="auto" w:sz="4" w:space="0"/>
            </w:tcBorders>
            <w:vAlign w:val="center"/>
          </w:tcPr>
          <w:p w14:paraId="35266B49">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7942DE1C">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70B2DAED">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14:paraId="1C783EB7">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1DE00B6F">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14:paraId="45E8D0B4">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14:paraId="07BFD399">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14:paraId="0DD9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483BC0E9">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14:paraId="42406854">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14:paraId="391F8DFF">
            <w:pPr>
              <w:widowControl/>
              <w:spacing w:line="400" w:lineRule="exact"/>
              <w:jc w:val="left"/>
              <w:rPr>
                <w:szCs w:val="32"/>
              </w:rPr>
            </w:pPr>
            <w:r>
              <w:rPr>
                <w:rFonts w:hint="eastAsia" w:ascii="楷体" w:hAnsi="楷体" w:eastAsia="楷体" w:cs="楷体"/>
                <w:sz w:val="20"/>
                <w:szCs w:val="20"/>
                <w:lang w:bidi="ar"/>
              </w:rPr>
              <w:t>3.危及“三安全一稳定”</w:t>
            </w:r>
          </w:p>
        </w:tc>
        <w:tc>
          <w:tcPr>
            <w:tcW w:w="1296" w:type="dxa"/>
            <w:tcBorders>
              <w:top w:val="single" w:color="auto" w:sz="4" w:space="0"/>
              <w:left w:val="nil"/>
              <w:bottom w:val="single" w:color="auto" w:sz="4" w:space="0"/>
              <w:right w:val="single" w:color="auto" w:sz="4" w:space="0"/>
            </w:tcBorders>
            <w:vAlign w:val="center"/>
          </w:tcPr>
          <w:p w14:paraId="2D956885">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14:paraId="05A145AC">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44A04D5A">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14:paraId="33F0C442">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1ED9904D">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14:paraId="4058EE64">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14:paraId="3FBE15A2">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r>
      <w:tr w14:paraId="66D8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7AC7C71E">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14:paraId="20C37DBA">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14:paraId="2EEE4463">
            <w:pPr>
              <w:widowControl/>
              <w:spacing w:line="400" w:lineRule="exact"/>
              <w:jc w:val="left"/>
              <w:rPr>
                <w:szCs w:val="32"/>
              </w:rPr>
            </w:pPr>
            <w:r>
              <w:rPr>
                <w:rFonts w:hint="eastAsia" w:ascii="楷体" w:hAnsi="楷体" w:eastAsia="楷体" w:cs="楷体"/>
                <w:sz w:val="20"/>
                <w:szCs w:val="20"/>
                <w:lang w:bidi="ar"/>
              </w:rPr>
              <w:t>4.保护第三方合法权益</w:t>
            </w:r>
          </w:p>
        </w:tc>
        <w:tc>
          <w:tcPr>
            <w:tcW w:w="1296" w:type="dxa"/>
            <w:tcBorders>
              <w:top w:val="single" w:color="auto" w:sz="4" w:space="0"/>
              <w:left w:val="nil"/>
              <w:bottom w:val="single" w:color="auto" w:sz="4" w:space="0"/>
              <w:right w:val="single" w:color="auto" w:sz="4" w:space="0"/>
            </w:tcBorders>
            <w:vAlign w:val="center"/>
          </w:tcPr>
          <w:p w14:paraId="3C363733">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14A10D16">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14:paraId="737B02E6">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14:paraId="0EDB2BBF">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3874A52B">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14:paraId="6909F8CF">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14:paraId="4A5BB77F">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14:paraId="5AC0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4BB6C007">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14:paraId="7FAB36D9">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14:paraId="75068527">
            <w:pPr>
              <w:widowControl/>
              <w:spacing w:line="400" w:lineRule="exact"/>
              <w:jc w:val="left"/>
              <w:rPr>
                <w:szCs w:val="32"/>
              </w:rPr>
            </w:pPr>
            <w:r>
              <w:rPr>
                <w:rFonts w:hint="eastAsia" w:ascii="楷体" w:hAnsi="楷体" w:eastAsia="楷体" w:cs="楷体"/>
                <w:sz w:val="20"/>
                <w:szCs w:val="20"/>
                <w:lang w:bidi="ar"/>
              </w:rPr>
              <w:t>5.属于三类内部事务信息</w:t>
            </w:r>
          </w:p>
        </w:tc>
        <w:tc>
          <w:tcPr>
            <w:tcW w:w="1296" w:type="dxa"/>
            <w:tcBorders>
              <w:top w:val="single" w:color="auto" w:sz="4" w:space="0"/>
              <w:left w:val="nil"/>
              <w:bottom w:val="single" w:color="auto" w:sz="4" w:space="0"/>
              <w:right w:val="single" w:color="auto" w:sz="4" w:space="0"/>
            </w:tcBorders>
            <w:vAlign w:val="center"/>
          </w:tcPr>
          <w:p w14:paraId="3BC3040F">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3D23CE4F">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4B8AB2FB">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14:paraId="53E687FF">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974" w:type="dxa"/>
            <w:tcBorders>
              <w:top w:val="single" w:color="auto" w:sz="4" w:space="0"/>
              <w:left w:val="nil"/>
              <w:bottom w:val="single" w:color="auto" w:sz="4" w:space="0"/>
              <w:right w:val="single" w:color="auto" w:sz="4" w:space="0"/>
            </w:tcBorders>
            <w:vAlign w:val="center"/>
          </w:tcPr>
          <w:p w14:paraId="34AD11D7">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14:paraId="758606A1">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14:paraId="74EA64BA">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14:paraId="1DF3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6719650C">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14:paraId="2B658AAC">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14:paraId="388F272C">
            <w:pPr>
              <w:widowControl/>
              <w:spacing w:line="400" w:lineRule="exact"/>
              <w:jc w:val="left"/>
              <w:rPr>
                <w:szCs w:val="32"/>
              </w:rPr>
            </w:pPr>
            <w:r>
              <w:rPr>
                <w:rFonts w:hint="eastAsia" w:ascii="楷体" w:hAnsi="楷体" w:eastAsia="楷体" w:cs="楷体"/>
                <w:sz w:val="20"/>
                <w:szCs w:val="20"/>
                <w:lang w:bidi="ar"/>
              </w:rPr>
              <w:t>6.属于四类过程性信息</w:t>
            </w:r>
          </w:p>
        </w:tc>
        <w:tc>
          <w:tcPr>
            <w:tcW w:w="1296" w:type="dxa"/>
            <w:tcBorders>
              <w:top w:val="single" w:color="auto" w:sz="4" w:space="0"/>
              <w:left w:val="nil"/>
              <w:bottom w:val="single" w:color="auto" w:sz="4" w:space="0"/>
              <w:right w:val="single" w:color="auto" w:sz="4" w:space="0"/>
            </w:tcBorders>
            <w:vAlign w:val="center"/>
          </w:tcPr>
          <w:p w14:paraId="7D2F0C87">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62FA69D5">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63EAD285">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14:paraId="00EB1502">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11570953">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14:paraId="19318609">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14:paraId="38D0C3B5">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14:paraId="43A8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791F9EB6">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14:paraId="4EB7C493">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14:paraId="62065A4D">
            <w:pPr>
              <w:widowControl/>
              <w:spacing w:line="400" w:lineRule="exact"/>
              <w:jc w:val="left"/>
              <w:rPr>
                <w:szCs w:val="32"/>
              </w:rPr>
            </w:pPr>
            <w:r>
              <w:rPr>
                <w:rFonts w:hint="eastAsia" w:ascii="楷体" w:hAnsi="楷体" w:eastAsia="楷体" w:cs="楷体"/>
                <w:sz w:val="20"/>
                <w:szCs w:val="20"/>
                <w:lang w:bidi="ar"/>
              </w:rPr>
              <w:t>7.属于行政执法案卷</w:t>
            </w:r>
          </w:p>
        </w:tc>
        <w:tc>
          <w:tcPr>
            <w:tcW w:w="1296" w:type="dxa"/>
            <w:tcBorders>
              <w:top w:val="single" w:color="auto" w:sz="4" w:space="0"/>
              <w:left w:val="nil"/>
              <w:bottom w:val="single" w:color="auto" w:sz="4" w:space="0"/>
              <w:right w:val="single" w:color="auto" w:sz="4" w:space="0"/>
            </w:tcBorders>
            <w:vAlign w:val="center"/>
          </w:tcPr>
          <w:p w14:paraId="4A86235C">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01823E7E">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14:paraId="399039E7">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14:paraId="04F4866C">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974" w:type="dxa"/>
            <w:tcBorders>
              <w:top w:val="single" w:color="auto" w:sz="4" w:space="0"/>
              <w:left w:val="nil"/>
              <w:bottom w:val="single" w:color="auto" w:sz="4" w:space="0"/>
              <w:right w:val="single" w:color="auto" w:sz="4" w:space="0"/>
            </w:tcBorders>
            <w:vAlign w:val="center"/>
          </w:tcPr>
          <w:p w14:paraId="623AC3C6">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14:paraId="5D4001B2">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14:paraId="104001C5">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r>
      <w:tr w14:paraId="420F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5FA70D7B">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14:paraId="09F625EB">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14:paraId="557346C9">
            <w:pPr>
              <w:widowControl/>
              <w:spacing w:line="400" w:lineRule="exact"/>
              <w:jc w:val="left"/>
              <w:rPr>
                <w:szCs w:val="32"/>
              </w:rPr>
            </w:pPr>
            <w:r>
              <w:rPr>
                <w:rFonts w:hint="eastAsia" w:ascii="楷体" w:hAnsi="楷体" w:eastAsia="楷体" w:cs="楷体"/>
                <w:sz w:val="20"/>
                <w:szCs w:val="20"/>
                <w:lang w:bidi="ar"/>
              </w:rPr>
              <w:t>8.属于行政查询事项</w:t>
            </w:r>
          </w:p>
        </w:tc>
        <w:tc>
          <w:tcPr>
            <w:tcW w:w="1296" w:type="dxa"/>
            <w:tcBorders>
              <w:top w:val="single" w:color="auto" w:sz="4" w:space="0"/>
              <w:left w:val="nil"/>
              <w:bottom w:val="single" w:color="auto" w:sz="4" w:space="0"/>
              <w:right w:val="single" w:color="auto" w:sz="4" w:space="0"/>
            </w:tcBorders>
            <w:vAlign w:val="center"/>
          </w:tcPr>
          <w:p w14:paraId="50C29531">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4CF328DB">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1C2D0549">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14:paraId="07733D53">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602D88CC">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14:paraId="6AD6A219">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14:paraId="752C67A6">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r>
      <w:tr w14:paraId="0674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05030FE2">
            <w:pPr>
              <w:spacing w:line="400" w:lineRule="exact"/>
              <w:rPr>
                <w:rFonts w:hint="eastAsia" w:ascii="宋体"/>
                <w:sz w:val="24"/>
              </w:rPr>
            </w:pPr>
          </w:p>
        </w:tc>
        <w:tc>
          <w:tcPr>
            <w:tcW w:w="853" w:type="dxa"/>
            <w:vMerge w:val="restart"/>
            <w:tcBorders>
              <w:top w:val="nil"/>
              <w:left w:val="nil"/>
              <w:bottom w:val="single" w:color="auto" w:sz="4" w:space="0"/>
              <w:right w:val="single" w:color="auto" w:sz="4" w:space="0"/>
            </w:tcBorders>
            <w:vAlign w:val="center"/>
          </w:tcPr>
          <w:p w14:paraId="03C3209A">
            <w:pPr>
              <w:widowControl/>
              <w:spacing w:line="400" w:lineRule="exact"/>
              <w:jc w:val="left"/>
              <w:rPr>
                <w:szCs w:val="32"/>
              </w:rPr>
            </w:pPr>
            <w:r>
              <w:rPr>
                <w:rFonts w:hint="eastAsia" w:ascii="楷体" w:hAnsi="楷体" w:eastAsia="楷体" w:cs="楷体"/>
                <w:sz w:val="20"/>
                <w:szCs w:val="20"/>
                <w:lang w:bidi="ar"/>
              </w:rPr>
              <w:t>（四）无法提供</w:t>
            </w:r>
          </w:p>
        </w:tc>
        <w:tc>
          <w:tcPr>
            <w:tcW w:w="1604" w:type="dxa"/>
            <w:tcBorders>
              <w:top w:val="single" w:color="auto" w:sz="4" w:space="0"/>
              <w:left w:val="nil"/>
              <w:bottom w:val="single" w:color="auto" w:sz="4" w:space="0"/>
              <w:right w:val="single" w:color="auto" w:sz="4" w:space="0"/>
            </w:tcBorders>
            <w:vAlign w:val="center"/>
          </w:tcPr>
          <w:p w14:paraId="1AAE4115">
            <w:pPr>
              <w:widowControl/>
              <w:spacing w:line="400" w:lineRule="exact"/>
              <w:jc w:val="left"/>
              <w:rPr>
                <w:szCs w:val="32"/>
              </w:rPr>
            </w:pPr>
            <w:r>
              <w:rPr>
                <w:rFonts w:hint="eastAsia" w:ascii="楷体" w:hAnsi="楷体" w:eastAsia="楷体" w:cs="楷体"/>
                <w:sz w:val="20"/>
                <w:szCs w:val="20"/>
                <w:lang w:bidi="ar"/>
              </w:rPr>
              <w:t>1.本机关不掌握相关政府信息</w:t>
            </w:r>
          </w:p>
        </w:tc>
        <w:tc>
          <w:tcPr>
            <w:tcW w:w="1296" w:type="dxa"/>
            <w:tcBorders>
              <w:top w:val="single" w:color="auto" w:sz="4" w:space="0"/>
              <w:left w:val="nil"/>
              <w:bottom w:val="single" w:color="auto" w:sz="4" w:space="0"/>
              <w:right w:val="single" w:color="auto" w:sz="4" w:space="0"/>
            </w:tcBorders>
            <w:vAlign w:val="center"/>
          </w:tcPr>
          <w:p w14:paraId="0BB16984">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15</w:t>
            </w:r>
          </w:p>
        </w:tc>
        <w:tc>
          <w:tcPr>
            <w:tcW w:w="755" w:type="dxa"/>
            <w:tcBorders>
              <w:top w:val="single" w:color="auto" w:sz="4" w:space="0"/>
              <w:left w:val="nil"/>
              <w:bottom w:val="single" w:color="auto" w:sz="4" w:space="0"/>
              <w:right w:val="single" w:color="auto" w:sz="4" w:space="0"/>
            </w:tcBorders>
            <w:vAlign w:val="center"/>
          </w:tcPr>
          <w:p w14:paraId="0584D61A">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1</w:t>
            </w:r>
          </w:p>
        </w:tc>
        <w:tc>
          <w:tcPr>
            <w:tcW w:w="755" w:type="dxa"/>
            <w:tcBorders>
              <w:top w:val="single" w:color="auto" w:sz="4" w:space="0"/>
              <w:left w:val="nil"/>
              <w:bottom w:val="single" w:color="auto" w:sz="4" w:space="0"/>
              <w:right w:val="single" w:color="auto" w:sz="4" w:space="0"/>
            </w:tcBorders>
            <w:vAlign w:val="center"/>
          </w:tcPr>
          <w:p w14:paraId="608D1E93">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14:paraId="14EC35A7">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59D7B1B3">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14:paraId="09138BEA">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14:paraId="2B6D9482">
            <w:pPr>
              <w:widowControl/>
              <w:spacing w:line="400" w:lineRule="exact"/>
              <w:jc w:val="center"/>
              <w:rPr>
                <w:szCs w:val="32"/>
              </w:rPr>
            </w:pPr>
            <w:r>
              <w:rPr>
                <w:rFonts w:hint="eastAsia" w:eastAsia="宋体"/>
                <w:sz w:val="20"/>
                <w:szCs w:val="20"/>
                <w:lang w:bidi="ar"/>
              </w:rPr>
              <w:t>16</w:t>
            </w:r>
          </w:p>
        </w:tc>
      </w:tr>
      <w:tr w14:paraId="367D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6B20E066">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14:paraId="773B2BDA">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14:paraId="680A54C6">
            <w:pPr>
              <w:widowControl/>
              <w:spacing w:line="400" w:lineRule="exact"/>
              <w:jc w:val="left"/>
              <w:rPr>
                <w:szCs w:val="32"/>
              </w:rPr>
            </w:pPr>
            <w:r>
              <w:rPr>
                <w:rFonts w:hint="eastAsia" w:ascii="楷体" w:hAnsi="楷体" w:eastAsia="楷体" w:cs="楷体"/>
                <w:sz w:val="20"/>
                <w:szCs w:val="20"/>
                <w:lang w:bidi="ar"/>
              </w:rPr>
              <w:t>2.没有现成信息需要另行制作</w:t>
            </w:r>
          </w:p>
        </w:tc>
        <w:tc>
          <w:tcPr>
            <w:tcW w:w="1296" w:type="dxa"/>
            <w:tcBorders>
              <w:top w:val="single" w:color="auto" w:sz="4" w:space="0"/>
              <w:left w:val="nil"/>
              <w:bottom w:val="single" w:color="auto" w:sz="4" w:space="0"/>
              <w:right w:val="single" w:color="auto" w:sz="4" w:space="0"/>
            </w:tcBorders>
            <w:vAlign w:val="center"/>
          </w:tcPr>
          <w:p w14:paraId="03917719">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14:paraId="6E6410F7">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14:paraId="557E8C51">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14:paraId="4F59C79A">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0A99F950">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14:paraId="59E2ED2D">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14:paraId="378DB06B">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14:paraId="4E19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1CF6B664">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14:paraId="3406050E">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14:paraId="522A85E0">
            <w:pPr>
              <w:widowControl/>
              <w:spacing w:line="400" w:lineRule="exact"/>
              <w:jc w:val="left"/>
              <w:rPr>
                <w:szCs w:val="32"/>
              </w:rPr>
            </w:pPr>
            <w:r>
              <w:rPr>
                <w:rFonts w:hint="eastAsia" w:ascii="楷体" w:hAnsi="楷体" w:eastAsia="楷体" w:cs="楷体"/>
                <w:sz w:val="20"/>
                <w:szCs w:val="20"/>
                <w:lang w:bidi="ar"/>
              </w:rPr>
              <w:t>3.补正后申请内容仍不明确</w:t>
            </w:r>
          </w:p>
        </w:tc>
        <w:tc>
          <w:tcPr>
            <w:tcW w:w="1296" w:type="dxa"/>
            <w:tcBorders>
              <w:top w:val="single" w:color="auto" w:sz="4" w:space="0"/>
              <w:left w:val="nil"/>
              <w:bottom w:val="single" w:color="auto" w:sz="4" w:space="0"/>
              <w:right w:val="single" w:color="auto" w:sz="4" w:space="0"/>
            </w:tcBorders>
            <w:vAlign w:val="center"/>
          </w:tcPr>
          <w:p w14:paraId="517ED225">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2DFC33E2">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2AB5DB16">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14:paraId="13624126">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974" w:type="dxa"/>
            <w:tcBorders>
              <w:top w:val="single" w:color="auto" w:sz="4" w:space="0"/>
              <w:left w:val="nil"/>
              <w:bottom w:val="single" w:color="auto" w:sz="4" w:space="0"/>
              <w:right w:val="single" w:color="auto" w:sz="4" w:space="0"/>
            </w:tcBorders>
            <w:vAlign w:val="center"/>
          </w:tcPr>
          <w:p w14:paraId="4038EFA0">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14:paraId="4A58A437">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14:paraId="1753DF72">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r>
      <w:tr w14:paraId="6DA1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70DDCE19">
            <w:pPr>
              <w:spacing w:line="400" w:lineRule="exact"/>
              <w:rPr>
                <w:rFonts w:hint="eastAsia" w:ascii="宋体"/>
                <w:sz w:val="24"/>
              </w:rPr>
            </w:pPr>
          </w:p>
        </w:tc>
        <w:tc>
          <w:tcPr>
            <w:tcW w:w="853" w:type="dxa"/>
            <w:vMerge w:val="restart"/>
            <w:tcBorders>
              <w:top w:val="nil"/>
              <w:left w:val="nil"/>
              <w:bottom w:val="single" w:color="auto" w:sz="4" w:space="0"/>
              <w:right w:val="single" w:color="auto" w:sz="4" w:space="0"/>
            </w:tcBorders>
            <w:vAlign w:val="center"/>
          </w:tcPr>
          <w:p w14:paraId="765E2839">
            <w:pPr>
              <w:widowControl/>
              <w:spacing w:line="400" w:lineRule="exact"/>
              <w:jc w:val="left"/>
              <w:rPr>
                <w:szCs w:val="32"/>
              </w:rPr>
            </w:pPr>
            <w:r>
              <w:rPr>
                <w:rFonts w:hint="eastAsia" w:ascii="楷体" w:hAnsi="楷体" w:eastAsia="楷体" w:cs="楷体"/>
                <w:sz w:val="20"/>
                <w:szCs w:val="20"/>
                <w:lang w:bidi="ar"/>
              </w:rPr>
              <w:t>（五）不予处理</w:t>
            </w:r>
          </w:p>
        </w:tc>
        <w:tc>
          <w:tcPr>
            <w:tcW w:w="1604" w:type="dxa"/>
            <w:tcBorders>
              <w:top w:val="single" w:color="auto" w:sz="4" w:space="0"/>
              <w:left w:val="nil"/>
              <w:bottom w:val="single" w:color="auto" w:sz="4" w:space="0"/>
              <w:right w:val="single" w:color="auto" w:sz="4" w:space="0"/>
            </w:tcBorders>
            <w:vAlign w:val="center"/>
          </w:tcPr>
          <w:p w14:paraId="065CE100">
            <w:pPr>
              <w:widowControl/>
              <w:spacing w:line="400" w:lineRule="exact"/>
              <w:jc w:val="left"/>
              <w:rPr>
                <w:szCs w:val="32"/>
              </w:rPr>
            </w:pPr>
            <w:r>
              <w:rPr>
                <w:rFonts w:hint="eastAsia" w:ascii="楷体" w:hAnsi="楷体" w:eastAsia="楷体" w:cs="楷体"/>
                <w:sz w:val="20"/>
                <w:szCs w:val="20"/>
                <w:lang w:bidi="ar"/>
              </w:rPr>
              <w:t>1.信访举报投诉类申请</w:t>
            </w:r>
          </w:p>
        </w:tc>
        <w:tc>
          <w:tcPr>
            <w:tcW w:w="1296" w:type="dxa"/>
            <w:tcBorders>
              <w:top w:val="single" w:color="auto" w:sz="4" w:space="0"/>
              <w:left w:val="nil"/>
              <w:bottom w:val="single" w:color="auto" w:sz="4" w:space="0"/>
              <w:right w:val="single" w:color="auto" w:sz="4" w:space="0"/>
            </w:tcBorders>
            <w:vAlign w:val="center"/>
          </w:tcPr>
          <w:p w14:paraId="0DCD4BFE">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14:paraId="49C6E2B3">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465FFB42">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14:paraId="7088E238">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2DB45AB3">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14:paraId="521D3E48">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14:paraId="50027DFB">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14:paraId="1C23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50B91402">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14:paraId="17896F7C">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14:paraId="75307593">
            <w:pPr>
              <w:widowControl/>
              <w:spacing w:line="400" w:lineRule="exact"/>
              <w:jc w:val="left"/>
              <w:rPr>
                <w:szCs w:val="32"/>
              </w:rPr>
            </w:pPr>
            <w:r>
              <w:rPr>
                <w:rFonts w:hint="eastAsia" w:ascii="楷体" w:hAnsi="楷体" w:eastAsia="楷体" w:cs="楷体"/>
                <w:sz w:val="20"/>
                <w:szCs w:val="20"/>
                <w:lang w:bidi="ar"/>
              </w:rPr>
              <w:t>2.重复申请</w:t>
            </w:r>
          </w:p>
        </w:tc>
        <w:tc>
          <w:tcPr>
            <w:tcW w:w="1296" w:type="dxa"/>
            <w:tcBorders>
              <w:top w:val="single" w:color="auto" w:sz="4" w:space="0"/>
              <w:left w:val="nil"/>
              <w:bottom w:val="single" w:color="auto" w:sz="4" w:space="0"/>
              <w:right w:val="single" w:color="auto" w:sz="4" w:space="0"/>
            </w:tcBorders>
            <w:vAlign w:val="center"/>
          </w:tcPr>
          <w:p w14:paraId="3C1FCD48">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0C56A838">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7E0350D9">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14:paraId="0EF81D5C">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414933A2">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14:paraId="5FEDE961">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14:paraId="63B158D2">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r>
      <w:tr w14:paraId="6ECD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724D146B">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14:paraId="1803DC09">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14:paraId="5716B786">
            <w:pPr>
              <w:widowControl/>
              <w:spacing w:line="400" w:lineRule="exact"/>
              <w:jc w:val="left"/>
              <w:rPr>
                <w:szCs w:val="32"/>
              </w:rPr>
            </w:pPr>
            <w:r>
              <w:rPr>
                <w:rFonts w:hint="eastAsia" w:ascii="楷体" w:hAnsi="楷体" w:eastAsia="楷体" w:cs="楷体"/>
                <w:sz w:val="20"/>
                <w:szCs w:val="20"/>
                <w:lang w:bidi="ar"/>
              </w:rPr>
              <w:t>3.要求提供公开出版物</w:t>
            </w:r>
          </w:p>
        </w:tc>
        <w:tc>
          <w:tcPr>
            <w:tcW w:w="1296" w:type="dxa"/>
            <w:tcBorders>
              <w:top w:val="single" w:color="auto" w:sz="4" w:space="0"/>
              <w:left w:val="nil"/>
              <w:bottom w:val="single" w:color="auto" w:sz="4" w:space="0"/>
              <w:right w:val="single" w:color="auto" w:sz="4" w:space="0"/>
            </w:tcBorders>
            <w:vAlign w:val="center"/>
          </w:tcPr>
          <w:p w14:paraId="0025837F">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14:paraId="1DFDC513">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5ECE24B4">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14:paraId="1E3C3FBA">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309A2F6C">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14:paraId="0F21E449">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14:paraId="320383EF">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14:paraId="140C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2A55C43A">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14:paraId="209BB018">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14:paraId="723037C3">
            <w:pPr>
              <w:widowControl/>
              <w:spacing w:line="400" w:lineRule="exact"/>
              <w:jc w:val="left"/>
              <w:rPr>
                <w:szCs w:val="32"/>
              </w:rPr>
            </w:pPr>
            <w:r>
              <w:rPr>
                <w:rFonts w:hint="eastAsia" w:ascii="楷体" w:hAnsi="楷体" w:eastAsia="楷体" w:cs="楷体"/>
                <w:sz w:val="20"/>
                <w:szCs w:val="20"/>
                <w:lang w:bidi="ar"/>
              </w:rPr>
              <w:t>4.无正当理由大量反复申请</w:t>
            </w:r>
          </w:p>
        </w:tc>
        <w:tc>
          <w:tcPr>
            <w:tcW w:w="1296" w:type="dxa"/>
            <w:tcBorders>
              <w:top w:val="single" w:color="auto" w:sz="4" w:space="0"/>
              <w:left w:val="nil"/>
              <w:bottom w:val="single" w:color="auto" w:sz="4" w:space="0"/>
              <w:right w:val="single" w:color="auto" w:sz="4" w:space="0"/>
            </w:tcBorders>
            <w:vAlign w:val="center"/>
          </w:tcPr>
          <w:p w14:paraId="7D143715">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4F263B29">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3304BBE9">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14:paraId="5B46B510">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1F98D6F9">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14:paraId="5B0202C3">
            <w:pPr>
              <w:widowControl/>
              <w:spacing w:line="400" w:lineRule="exact"/>
              <w:jc w:val="center"/>
              <w:rPr>
                <w:szCs w:val="32"/>
                <w:lang w:val="en-US"/>
              </w:rPr>
            </w:pP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14:paraId="2324F65B">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r>
      <w:tr w14:paraId="15FA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406076D9">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14:paraId="227235DA">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14:paraId="61238C5A">
            <w:pPr>
              <w:widowControl/>
              <w:spacing w:line="400" w:lineRule="exact"/>
              <w:jc w:val="left"/>
              <w:rPr>
                <w:szCs w:val="32"/>
              </w:rPr>
            </w:pPr>
            <w:r>
              <w:rPr>
                <w:rFonts w:hint="eastAsia" w:ascii="楷体" w:hAnsi="楷体" w:eastAsia="楷体" w:cs="楷体"/>
                <w:sz w:val="20"/>
                <w:szCs w:val="20"/>
                <w:lang w:bidi="ar"/>
              </w:rPr>
              <w:t>5.要求行政机关确认或重新出具已获取信息</w:t>
            </w:r>
          </w:p>
        </w:tc>
        <w:tc>
          <w:tcPr>
            <w:tcW w:w="1296" w:type="dxa"/>
            <w:tcBorders>
              <w:top w:val="single" w:color="auto" w:sz="4" w:space="0"/>
              <w:left w:val="nil"/>
              <w:bottom w:val="single" w:color="auto" w:sz="4" w:space="0"/>
              <w:right w:val="single" w:color="auto" w:sz="4" w:space="0"/>
            </w:tcBorders>
            <w:vAlign w:val="center"/>
          </w:tcPr>
          <w:p w14:paraId="4D0403A5">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1A57D91A">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626D9A75">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14:paraId="04B5BF04">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974" w:type="dxa"/>
            <w:tcBorders>
              <w:top w:val="single" w:color="auto" w:sz="4" w:space="0"/>
              <w:left w:val="nil"/>
              <w:bottom w:val="single" w:color="auto" w:sz="4" w:space="0"/>
              <w:right w:val="single" w:color="auto" w:sz="4" w:space="0"/>
            </w:tcBorders>
            <w:vAlign w:val="center"/>
          </w:tcPr>
          <w:p w14:paraId="0BBA36CC">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14:paraId="47DDEA58">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14:paraId="480D79AC">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14:paraId="7334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638C14FF">
            <w:pPr>
              <w:spacing w:line="400" w:lineRule="exact"/>
              <w:rPr>
                <w:rFonts w:hint="eastAsia" w:ascii="宋体"/>
                <w:sz w:val="24"/>
              </w:rPr>
            </w:pPr>
          </w:p>
        </w:tc>
        <w:tc>
          <w:tcPr>
            <w:tcW w:w="2457" w:type="dxa"/>
            <w:gridSpan w:val="2"/>
            <w:tcBorders>
              <w:top w:val="single" w:color="auto" w:sz="4" w:space="0"/>
              <w:left w:val="nil"/>
              <w:bottom w:val="single" w:color="auto" w:sz="4" w:space="0"/>
              <w:right w:val="single" w:color="auto" w:sz="4" w:space="0"/>
            </w:tcBorders>
            <w:vAlign w:val="center"/>
          </w:tcPr>
          <w:p w14:paraId="08F83D2E">
            <w:pPr>
              <w:widowControl/>
              <w:spacing w:line="400" w:lineRule="exact"/>
              <w:jc w:val="left"/>
              <w:rPr>
                <w:szCs w:val="32"/>
              </w:rPr>
            </w:pPr>
            <w:r>
              <w:rPr>
                <w:rFonts w:hint="eastAsia" w:ascii="楷体" w:hAnsi="楷体" w:eastAsia="楷体" w:cs="楷体"/>
                <w:sz w:val="20"/>
                <w:szCs w:val="20"/>
                <w:lang w:bidi="ar"/>
              </w:rPr>
              <w:t>（六）其他处理</w:t>
            </w:r>
          </w:p>
        </w:tc>
        <w:tc>
          <w:tcPr>
            <w:tcW w:w="1296" w:type="dxa"/>
            <w:tcBorders>
              <w:top w:val="single" w:color="auto" w:sz="4" w:space="0"/>
              <w:left w:val="nil"/>
              <w:bottom w:val="single" w:color="auto" w:sz="4" w:space="0"/>
              <w:right w:val="single" w:color="auto" w:sz="4" w:space="0"/>
            </w:tcBorders>
            <w:vAlign w:val="center"/>
          </w:tcPr>
          <w:p w14:paraId="4FBE8F2C">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32B0CF8B">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36929731">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14:paraId="72259DE4">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77C17181">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14:paraId="6087E916">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14:paraId="3F376824">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r>
      <w:tr w14:paraId="0C74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14:paraId="3464BC7E">
            <w:pPr>
              <w:spacing w:line="400" w:lineRule="exact"/>
              <w:rPr>
                <w:rFonts w:hint="eastAsia" w:ascii="宋体"/>
                <w:sz w:val="24"/>
              </w:rPr>
            </w:pPr>
          </w:p>
        </w:tc>
        <w:tc>
          <w:tcPr>
            <w:tcW w:w="2457" w:type="dxa"/>
            <w:gridSpan w:val="2"/>
            <w:tcBorders>
              <w:top w:val="single" w:color="auto" w:sz="4" w:space="0"/>
              <w:left w:val="nil"/>
              <w:bottom w:val="single" w:color="auto" w:sz="4" w:space="0"/>
              <w:right w:val="single" w:color="auto" w:sz="4" w:space="0"/>
            </w:tcBorders>
            <w:vAlign w:val="center"/>
          </w:tcPr>
          <w:p w14:paraId="18421922">
            <w:pPr>
              <w:widowControl/>
              <w:spacing w:line="400" w:lineRule="exact"/>
              <w:jc w:val="left"/>
              <w:rPr>
                <w:szCs w:val="32"/>
              </w:rPr>
            </w:pPr>
            <w:r>
              <w:rPr>
                <w:rFonts w:hint="eastAsia" w:ascii="楷体" w:hAnsi="楷体" w:eastAsia="楷体" w:cs="楷体"/>
                <w:sz w:val="20"/>
                <w:szCs w:val="20"/>
                <w:lang w:bidi="ar"/>
              </w:rPr>
              <w:t>（七）总计</w:t>
            </w:r>
          </w:p>
        </w:tc>
        <w:tc>
          <w:tcPr>
            <w:tcW w:w="1296" w:type="dxa"/>
            <w:tcBorders>
              <w:top w:val="single" w:color="auto" w:sz="4" w:space="0"/>
              <w:left w:val="nil"/>
              <w:bottom w:val="single" w:color="auto" w:sz="4" w:space="0"/>
              <w:right w:val="single" w:color="auto" w:sz="4" w:space="0"/>
            </w:tcBorders>
            <w:vAlign w:val="center"/>
          </w:tcPr>
          <w:p w14:paraId="7D3448A4">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50</w:t>
            </w:r>
          </w:p>
        </w:tc>
        <w:tc>
          <w:tcPr>
            <w:tcW w:w="755" w:type="dxa"/>
            <w:tcBorders>
              <w:top w:val="single" w:color="auto" w:sz="4" w:space="0"/>
              <w:left w:val="nil"/>
              <w:bottom w:val="single" w:color="auto" w:sz="4" w:space="0"/>
              <w:right w:val="single" w:color="auto" w:sz="4" w:space="0"/>
            </w:tcBorders>
            <w:vAlign w:val="center"/>
          </w:tcPr>
          <w:p w14:paraId="199C049C">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1</w:t>
            </w:r>
          </w:p>
        </w:tc>
        <w:tc>
          <w:tcPr>
            <w:tcW w:w="755" w:type="dxa"/>
            <w:tcBorders>
              <w:top w:val="single" w:color="auto" w:sz="4" w:space="0"/>
              <w:left w:val="nil"/>
              <w:bottom w:val="single" w:color="auto" w:sz="4" w:space="0"/>
              <w:right w:val="single" w:color="auto" w:sz="4" w:space="0"/>
            </w:tcBorders>
            <w:vAlign w:val="center"/>
          </w:tcPr>
          <w:p w14:paraId="45E880ED">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14:paraId="099A0783">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2B9AABF1">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14:paraId="2B1155AF">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1</w:t>
            </w:r>
          </w:p>
        </w:tc>
        <w:tc>
          <w:tcPr>
            <w:tcW w:w="601" w:type="dxa"/>
            <w:tcBorders>
              <w:top w:val="single" w:color="auto" w:sz="4" w:space="0"/>
              <w:left w:val="nil"/>
              <w:bottom w:val="single" w:color="auto" w:sz="4" w:space="0"/>
              <w:right w:val="single" w:color="auto" w:sz="4" w:space="0"/>
            </w:tcBorders>
            <w:vAlign w:val="center"/>
          </w:tcPr>
          <w:p w14:paraId="21530691">
            <w:pPr>
              <w:widowControl/>
              <w:spacing w:line="400" w:lineRule="exact"/>
              <w:jc w:val="center"/>
              <w:rPr>
                <w:szCs w:val="32"/>
              </w:rPr>
            </w:pPr>
            <w:r>
              <w:rPr>
                <w:rFonts w:hint="eastAsia" w:eastAsia="宋体"/>
                <w:sz w:val="20"/>
                <w:szCs w:val="20"/>
                <w:lang w:bidi="ar"/>
              </w:rPr>
              <w:t>52</w:t>
            </w:r>
          </w:p>
        </w:tc>
      </w:tr>
      <w:tr w14:paraId="0ACE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5" w:type="dxa"/>
            <w:gridSpan w:val="3"/>
            <w:tcBorders>
              <w:top w:val="single" w:color="auto" w:sz="4" w:space="0"/>
              <w:left w:val="single" w:color="auto" w:sz="4" w:space="0"/>
              <w:bottom w:val="single" w:color="auto" w:sz="4" w:space="0"/>
              <w:right w:val="single" w:color="auto" w:sz="4" w:space="0"/>
            </w:tcBorders>
            <w:vAlign w:val="center"/>
          </w:tcPr>
          <w:p w14:paraId="730AE711">
            <w:pPr>
              <w:widowControl/>
              <w:spacing w:line="400" w:lineRule="exact"/>
              <w:jc w:val="left"/>
              <w:rPr>
                <w:szCs w:val="32"/>
              </w:rPr>
            </w:pPr>
            <w:r>
              <w:rPr>
                <w:rFonts w:hint="eastAsia" w:eastAsia="宋体"/>
                <w:sz w:val="20"/>
                <w:szCs w:val="20"/>
                <w:lang w:bidi="ar"/>
              </w:rPr>
              <w:t>四、结转下年度继续办理</w:t>
            </w:r>
          </w:p>
        </w:tc>
        <w:tc>
          <w:tcPr>
            <w:tcW w:w="1296" w:type="dxa"/>
            <w:tcBorders>
              <w:top w:val="single" w:color="auto" w:sz="4" w:space="0"/>
              <w:left w:val="nil"/>
              <w:bottom w:val="single" w:color="auto" w:sz="4" w:space="0"/>
              <w:right w:val="single" w:color="auto" w:sz="4" w:space="0"/>
            </w:tcBorders>
            <w:vAlign w:val="center"/>
          </w:tcPr>
          <w:p w14:paraId="2BB92DD2">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1</w:t>
            </w:r>
          </w:p>
        </w:tc>
        <w:tc>
          <w:tcPr>
            <w:tcW w:w="755" w:type="dxa"/>
            <w:tcBorders>
              <w:top w:val="single" w:color="auto" w:sz="4" w:space="0"/>
              <w:left w:val="nil"/>
              <w:bottom w:val="single" w:color="auto" w:sz="4" w:space="0"/>
              <w:right w:val="single" w:color="auto" w:sz="4" w:space="0"/>
            </w:tcBorders>
            <w:vAlign w:val="center"/>
          </w:tcPr>
          <w:p w14:paraId="6B5A4AE3">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14:paraId="54FB9B94">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14:paraId="44D14707">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14:paraId="15FD1780">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14:paraId="1345987F">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14:paraId="3914B180">
            <w:pPr>
              <w:widowControl/>
              <w:spacing w:line="400" w:lineRule="exact"/>
              <w:ind w:firstLine="208" w:firstLineChars="100"/>
              <w:jc w:val="left"/>
              <w:rPr>
                <w:rFonts w:hint="eastAsia" w:ascii="宋体" w:hAnsi="宋体" w:eastAsia="宋体" w:cs="宋体"/>
                <w:sz w:val="21"/>
                <w:szCs w:val="21"/>
              </w:rPr>
            </w:pPr>
            <w:r>
              <w:rPr>
                <w:rFonts w:hint="eastAsia" w:ascii="宋体" w:hAnsi="宋体" w:eastAsia="宋体" w:cs="宋体"/>
                <w:sz w:val="21"/>
                <w:szCs w:val="21"/>
              </w:rPr>
              <w:t>1</w:t>
            </w:r>
          </w:p>
        </w:tc>
      </w:tr>
    </w:tbl>
    <w:p w14:paraId="67748F4D">
      <w:pPr>
        <w:pStyle w:val="5"/>
        <w:widowControl/>
        <w:spacing w:before="0" w:beforeAutospacing="0" w:after="0" w:afterAutospacing="0" w:line="400" w:lineRule="exact"/>
        <w:ind w:firstLine="420"/>
        <w:jc w:val="both"/>
        <w:rPr>
          <w:rFonts w:hint="eastAsia" w:ascii="黑体" w:hAnsi="黑体" w:eastAsia="黑体" w:cs="黑体"/>
          <w:sz w:val="32"/>
          <w:szCs w:val="32"/>
        </w:rPr>
      </w:pPr>
      <w:r>
        <w:rPr>
          <w:rFonts w:hint="eastAsia" w:ascii="黑体" w:hAnsi="黑体" w:eastAsia="黑体" w:cs="黑体"/>
          <w:sz w:val="32"/>
          <w:szCs w:val="32"/>
        </w:rPr>
        <w:t xml:space="preserve"> 四、政府信息公开行政复议、行政诉讼情况 </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B3E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14:paraId="586DDD8A">
            <w:pPr>
              <w:widowControl/>
              <w:spacing w:line="400" w:lineRule="exact"/>
              <w:jc w:val="center"/>
              <w:rPr>
                <w:szCs w:val="32"/>
              </w:rPr>
            </w:pPr>
            <w:r>
              <w:rPr>
                <w:rFonts w:hint="eastAsia" w:eastAsia="宋体"/>
                <w:sz w:val="20"/>
                <w:szCs w:val="20"/>
                <w:lang w:bidi="ar"/>
              </w:rPr>
              <w:t>行政复议</w:t>
            </w:r>
          </w:p>
        </w:tc>
        <w:tc>
          <w:tcPr>
            <w:tcW w:w="5997" w:type="dxa"/>
            <w:gridSpan w:val="10"/>
            <w:tcBorders>
              <w:top w:val="single" w:color="auto" w:sz="4" w:space="0"/>
              <w:left w:val="nil"/>
              <w:bottom w:val="single" w:color="auto" w:sz="4" w:space="0"/>
              <w:right w:val="single" w:color="auto" w:sz="4" w:space="0"/>
            </w:tcBorders>
            <w:vAlign w:val="center"/>
          </w:tcPr>
          <w:p w14:paraId="4A867C3E">
            <w:pPr>
              <w:widowControl/>
              <w:spacing w:line="400" w:lineRule="exact"/>
              <w:jc w:val="center"/>
              <w:rPr>
                <w:szCs w:val="32"/>
              </w:rPr>
            </w:pPr>
            <w:r>
              <w:rPr>
                <w:rFonts w:hint="eastAsia" w:eastAsia="宋体"/>
                <w:sz w:val="20"/>
                <w:szCs w:val="20"/>
                <w:lang w:bidi="ar"/>
              </w:rPr>
              <w:t>行政诉讼</w:t>
            </w:r>
          </w:p>
        </w:tc>
      </w:tr>
      <w:tr w14:paraId="3365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14:paraId="70B9AA08">
            <w:pPr>
              <w:widowControl/>
              <w:spacing w:line="400" w:lineRule="exact"/>
              <w:jc w:val="center"/>
              <w:rPr>
                <w:szCs w:val="32"/>
              </w:rPr>
            </w:pPr>
            <w:r>
              <w:rPr>
                <w:rFonts w:hint="eastAsia" w:eastAsia="宋体"/>
                <w:sz w:val="20"/>
                <w:szCs w:val="20"/>
                <w:lang w:bidi="ar"/>
              </w:rPr>
              <w:t>结果维持</w:t>
            </w:r>
          </w:p>
        </w:tc>
        <w:tc>
          <w:tcPr>
            <w:tcW w:w="604" w:type="dxa"/>
            <w:vMerge w:val="restart"/>
            <w:tcBorders>
              <w:top w:val="nil"/>
              <w:left w:val="nil"/>
              <w:bottom w:val="single" w:color="auto" w:sz="4" w:space="0"/>
              <w:right w:val="single" w:color="auto" w:sz="4" w:space="0"/>
            </w:tcBorders>
            <w:vAlign w:val="center"/>
          </w:tcPr>
          <w:p w14:paraId="1AC584E6">
            <w:pPr>
              <w:widowControl/>
              <w:spacing w:line="400" w:lineRule="exact"/>
              <w:jc w:val="center"/>
              <w:rPr>
                <w:szCs w:val="32"/>
              </w:rPr>
            </w:pPr>
            <w:r>
              <w:rPr>
                <w:rFonts w:hint="eastAsia" w:eastAsia="宋体"/>
                <w:sz w:val="20"/>
                <w:szCs w:val="20"/>
                <w:lang w:bidi="ar"/>
              </w:rPr>
              <w:t>结果纠正</w:t>
            </w:r>
          </w:p>
        </w:tc>
        <w:tc>
          <w:tcPr>
            <w:tcW w:w="604" w:type="dxa"/>
            <w:vMerge w:val="restart"/>
            <w:tcBorders>
              <w:top w:val="single" w:color="auto" w:sz="4" w:space="0"/>
              <w:left w:val="nil"/>
              <w:bottom w:val="single" w:color="auto" w:sz="4" w:space="0"/>
              <w:right w:val="single" w:color="auto" w:sz="4" w:space="0"/>
            </w:tcBorders>
            <w:vAlign w:val="center"/>
          </w:tcPr>
          <w:p w14:paraId="0A58D3AD">
            <w:pPr>
              <w:widowControl/>
              <w:spacing w:line="400" w:lineRule="exact"/>
              <w:jc w:val="center"/>
              <w:rPr>
                <w:szCs w:val="32"/>
              </w:rPr>
            </w:pPr>
            <w:r>
              <w:rPr>
                <w:rFonts w:hint="eastAsia" w:eastAsia="宋体"/>
                <w:sz w:val="20"/>
                <w:szCs w:val="20"/>
                <w:lang w:bidi="ar"/>
              </w:rPr>
              <w:t>其他结果</w:t>
            </w:r>
          </w:p>
        </w:tc>
        <w:tc>
          <w:tcPr>
            <w:tcW w:w="604" w:type="dxa"/>
            <w:vMerge w:val="restart"/>
            <w:tcBorders>
              <w:top w:val="single" w:color="auto" w:sz="4" w:space="0"/>
              <w:left w:val="nil"/>
              <w:bottom w:val="single" w:color="auto" w:sz="4" w:space="0"/>
              <w:right w:val="single" w:color="auto" w:sz="4" w:space="0"/>
            </w:tcBorders>
            <w:vAlign w:val="center"/>
          </w:tcPr>
          <w:p w14:paraId="78641117">
            <w:pPr>
              <w:widowControl/>
              <w:spacing w:line="400" w:lineRule="exact"/>
              <w:jc w:val="center"/>
              <w:rPr>
                <w:szCs w:val="32"/>
              </w:rPr>
            </w:pPr>
            <w:r>
              <w:rPr>
                <w:rFonts w:hint="eastAsia" w:eastAsia="宋体"/>
                <w:sz w:val="20"/>
                <w:szCs w:val="20"/>
                <w:lang w:bidi="ar"/>
              </w:rPr>
              <w:t>尚未审结</w:t>
            </w:r>
          </w:p>
        </w:tc>
        <w:tc>
          <w:tcPr>
            <w:tcW w:w="658" w:type="dxa"/>
            <w:vMerge w:val="restart"/>
            <w:tcBorders>
              <w:top w:val="single" w:color="auto" w:sz="4" w:space="0"/>
              <w:left w:val="nil"/>
              <w:bottom w:val="single" w:color="auto" w:sz="4" w:space="0"/>
              <w:right w:val="single" w:color="auto" w:sz="4" w:space="0"/>
            </w:tcBorders>
            <w:vAlign w:val="center"/>
          </w:tcPr>
          <w:p w14:paraId="2602ABB5">
            <w:pPr>
              <w:widowControl/>
              <w:spacing w:line="400" w:lineRule="exact"/>
              <w:jc w:val="center"/>
              <w:rPr>
                <w:szCs w:val="32"/>
              </w:rPr>
            </w:pPr>
            <w:r>
              <w:rPr>
                <w:rFonts w:hint="eastAsia" w:eastAsia="宋体"/>
                <w:sz w:val="20"/>
                <w:szCs w:val="20"/>
                <w:lang w:bidi="ar"/>
              </w:rPr>
              <w:t>总计</w:t>
            </w:r>
          </w:p>
        </w:tc>
        <w:tc>
          <w:tcPr>
            <w:tcW w:w="2970" w:type="dxa"/>
            <w:gridSpan w:val="5"/>
            <w:tcBorders>
              <w:top w:val="single" w:color="auto" w:sz="4" w:space="0"/>
              <w:left w:val="nil"/>
              <w:bottom w:val="single" w:color="auto" w:sz="4" w:space="0"/>
              <w:right w:val="single" w:color="auto" w:sz="4" w:space="0"/>
            </w:tcBorders>
            <w:vAlign w:val="center"/>
          </w:tcPr>
          <w:p w14:paraId="1A26162C">
            <w:pPr>
              <w:widowControl/>
              <w:spacing w:line="400" w:lineRule="exact"/>
              <w:jc w:val="center"/>
              <w:rPr>
                <w:szCs w:val="32"/>
              </w:rPr>
            </w:pPr>
            <w:r>
              <w:rPr>
                <w:rFonts w:hint="eastAsia" w:eastAsia="宋体"/>
                <w:sz w:val="20"/>
                <w:szCs w:val="20"/>
                <w:lang w:bidi="ar"/>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14:paraId="0282AE2D">
            <w:pPr>
              <w:widowControl/>
              <w:spacing w:line="400" w:lineRule="exact"/>
              <w:jc w:val="center"/>
              <w:rPr>
                <w:szCs w:val="32"/>
              </w:rPr>
            </w:pPr>
            <w:r>
              <w:rPr>
                <w:rFonts w:hint="eastAsia" w:eastAsia="宋体"/>
                <w:sz w:val="20"/>
                <w:szCs w:val="20"/>
                <w:lang w:bidi="ar"/>
              </w:rPr>
              <w:t>复议后起诉</w:t>
            </w:r>
          </w:p>
        </w:tc>
      </w:tr>
      <w:tr w14:paraId="322B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14:paraId="75694090">
            <w:pPr>
              <w:spacing w:line="400" w:lineRule="exact"/>
              <w:rPr>
                <w:rFonts w:hint="eastAsia" w:ascii="宋体"/>
                <w:sz w:val="24"/>
              </w:rPr>
            </w:pPr>
          </w:p>
        </w:tc>
        <w:tc>
          <w:tcPr>
            <w:tcW w:w="604" w:type="dxa"/>
            <w:vMerge w:val="continue"/>
            <w:tcBorders>
              <w:top w:val="nil"/>
              <w:left w:val="nil"/>
              <w:bottom w:val="single" w:color="auto" w:sz="4" w:space="0"/>
              <w:right w:val="single" w:color="auto" w:sz="4" w:space="0"/>
            </w:tcBorders>
            <w:vAlign w:val="center"/>
          </w:tcPr>
          <w:p w14:paraId="592210C4">
            <w:pPr>
              <w:spacing w:line="400" w:lineRule="exact"/>
              <w:rPr>
                <w:rFonts w:hint="eastAsia" w:ascii="宋体"/>
                <w:sz w:val="24"/>
              </w:rPr>
            </w:pPr>
          </w:p>
        </w:tc>
        <w:tc>
          <w:tcPr>
            <w:tcW w:w="604" w:type="dxa"/>
            <w:vMerge w:val="continue"/>
            <w:tcBorders>
              <w:top w:val="single" w:color="auto" w:sz="4" w:space="0"/>
              <w:left w:val="nil"/>
              <w:bottom w:val="single" w:color="auto" w:sz="4" w:space="0"/>
              <w:right w:val="single" w:color="auto" w:sz="4" w:space="0"/>
            </w:tcBorders>
            <w:vAlign w:val="center"/>
          </w:tcPr>
          <w:p w14:paraId="03D8E327">
            <w:pPr>
              <w:spacing w:line="400" w:lineRule="exact"/>
              <w:rPr>
                <w:rFonts w:hint="eastAsia" w:ascii="宋体"/>
                <w:sz w:val="24"/>
              </w:rPr>
            </w:pPr>
          </w:p>
        </w:tc>
        <w:tc>
          <w:tcPr>
            <w:tcW w:w="604" w:type="dxa"/>
            <w:vMerge w:val="continue"/>
            <w:tcBorders>
              <w:top w:val="single" w:color="auto" w:sz="4" w:space="0"/>
              <w:left w:val="nil"/>
              <w:bottom w:val="single" w:color="auto" w:sz="4" w:space="0"/>
              <w:right w:val="single" w:color="auto" w:sz="4" w:space="0"/>
            </w:tcBorders>
            <w:vAlign w:val="center"/>
          </w:tcPr>
          <w:p w14:paraId="629A86E0">
            <w:pPr>
              <w:spacing w:line="400" w:lineRule="exact"/>
              <w:rPr>
                <w:rFonts w:hint="eastAsia" w:ascii="宋体"/>
                <w:sz w:val="24"/>
              </w:rPr>
            </w:pPr>
          </w:p>
        </w:tc>
        <w:tc>
          <w:tcPr>
            <w:tcW w:w="658" w:type="dxa"/>
            <w:vMerge w:val="continue"/>
            <w:tcBorders>
              <w:top w:val="single" w:color="auto" w:sz="4" w:space="0"/>
              <w:left w:val="nil"/>
              <w:bottom w:val="single" w:color="auto" w:sz="4" w:space="0"/>
              <w:right w:val="single" w:color="auto" w:sz="4" w:space="0"/>
            </w:tcBorders>
            <w:vAlign w:val="center"/>
          </w:tcPr>
          <w:p w14:paraId="1137EEB5">
            <w:pPr>
              <w:spacing w:line="400" w:lineRule="exact"/>
              <w:rPr>
                <w:rFonts w:hint="eastAsia" w:ascii="宋体"/>
                <w:sz w:val="24"/>
              </w:rPr>
            </w:pPr>
          </w:p>
        </w:tc>
        <w:tc>
          <w:tcPr>
            <w:tcW w:w="550" w:type="dxa"/>
            <w:tcBorders>
              <w:top w:val="single" w:color="auto" w:sz="4" w:space="0"/>
              <w:left w:val="nil"/>
              <w:bottom w:val="single" w:color="auto" w:sz="4" w:space="0"/>
              <w:right w:val="single" w:color="auto" w:sz="4" w:space="0"/>
            </w:tcBorders>
            <w:vAlign w:val="center"/>
          </w:tcPr>
          <w:p w14:paraId="5CCB7A5F">
            <w:pPr>
              <w:widowControl/>
              <w:spacing w:line="400" w:lineRule="exact"/>
              <w:jc w:val="center"/>
              <w:rPr>
                <w:szCs w:val="32"/>
              </w:rPr>
            </w:pPr>
            <w:r>
              <w:rPr>
                <w:rFonts w:hint="eastAsia" w:eastAsia="宋体"/>
                <w:sz w:val="20"/>
                <w:szCs w:val="20"/>
                <w:lang w:bidi="ar"/>
              </w:rPr>
              <w:t>结果维持</w:t>
            </w:r>
          </w:p>
        </w:tc>
        <w:tc>
          <w:tcPr>
            <w:tcW w:w="605" w:type="dxa"/>
            <w:tcBorders>
              <w:top w:val="single" w:color="auto" w:sz="4" w:space="0"/>
              <w:left w:val="nil"/>
              <w:bottom w:val="single" w:color="auto" w:sz="4" w:space="0"/>
              <w:right w:val="single" w:color="auto" w:sz="4" w:space="0"/>
            </w:tcBorders>
            <w:vAlign w:val="center"/>
          </w:tcPr>
          <w:p w14:paraId="125B8403">
            <w:pPr>
              <w:widowControl/>
              <w:spacing w:line="400" w:lineRule="exact"/>
              <w:jc w:val="center"/>
              <w:rPr>
                <w:szCs w:val="32"/>
              </w:rPr>
            </w:pPr>
            <w:r>
              <w:rPr>
                <w:rFonts w:hint="eastAsia" w:eastAsia="宋体"/>
                <w:sz w:val="20"/>
                <w:szCs w:val="20"/>
                <w:lang w:bidi="ar"/>
              </w:rPr>
              <w:t>结果纠正</w:t>
            </w:r>
          </w:p>
        </w:tc>
        <w:tc>
          <w:tcPr>
            <w:tcW w:w="605" w:type="dxa"/>
            <w:tcBorders>
              <w:top w:val="single" w:color="auto" w:sz="4" w:space="0"/>
              <w:left w:val="nil"/>
              <w:bottom w:val="single" w:color="auto" w:sz="4" w:space="0"/>
              <w:right w:val="single" w:color="auto" w:sz="4" w:space="0"/>
            </w:tcBorders>
            <w:vAlign w:val="center"/>
          </w:tcPr>
          <w:p w14:paraId="3CDE5FE9">
            <w:pPr>
              <w:widowControl/>
              <w:spacing w:line="400" w:lineRule="exact"/>
              <w:jc w:val="center"/>
              <w:rPr>
                <w:szCs w:val="32"/>
              </w:rPr>
            </w:pPr>
            <w:r>
              <w:rPr>
                <w:rFonts w:hint="eastAsia" w:eastAsia="宋体"/>
                <w:sz w:val="20"/>
                <w:szCs w:val="20"/>
                <w:lang w:bidi="ar"/>
              </w:rPr>
              <w:t>其他结果</w:t>
            </w:r>
          </w:p>
        </w:tc>
        <w:tc>
          <w:tcPr>
            <w:tcW w:w="605" w:type="dxa"/>
            <w:tcBorders>
              <w:top w:val="single" w:color="auto" w:sz="4" w:space="0"/>
              <w:left w:val="nil"/>
              <w:bottom w:val="single" w:color="auto" w:sz="4" w:space="0"/>
              <w:right w:val="single" w:color="auto" w:sz="4" w:space="0"/>
            </w:tcBorders>
            <w:vAlign w:val="center"/>
          </w:tcPr>
          <w:p w14:paraId="339A0EBC">
            <w:pPr>
              <w:widowControl/>
              <w:spacing w:line="400" w:lineRule="exact"/>
              <w:jc w:val="center"/>
              <w:rPr>
                <w:szCs w:val="32"/>
              </w:rPr>
            </w:pPr>
            <w:r>
              <w:rPr>
                <w:rFonts w:hint="eastAsia" w:eastAsia="宋体"/>
                <w:sz w:val="20"/>
                <w:szCs w:val="20"/>
                <w:lang w:bidi="ar"/>
              </w:rPr>
              <w:t>尚未审结</w:t>
            </w:r>
          </w:p>
        </w:tc>
        <w:tc>
          <w:tcPr>
            <w:tcW w:w="605" w:type="dxa"/>
            <w:tcBorders>
              <w:top w:val="single" w:color="auto" w:sz="4" w:space="0"/>
              <w:left w:val="nil"/>
              <w:bottom w:val="single" w:color="auto" w:sz="4" w:space="0"/>
              <w:right w:val="single" w:color="auto" w:sz="4" w:space="0"/>
            </w:tcBorders>
            <w:vAlign w:val="center"/>
          </w:tcPr>
          <w:p w14:paraId="10DE1DB8">
            <w:pPr>
              <w:widowControl/>
              <w:spacing w:line="400" w:lineRule="exact"/>
              <w:jc w:val="center"/>
              <w:rPr>
                <w:szCs w:val="32"/>
              </w:rPr>
            </w:pPr>
            <w:r>
              <w:rPr>
                <w:rFonts w:hint="eastAsia" w:ascii="宋体" w:hAnsi="宋体" w:eastAsia="宋体" w:cs="宋体"/>
                <w:kern w:val="0"/>
                <w:sz w:val="20"/>
                <w:szCs w:val="20"/>
                <w:lang w:bidi="ar"/>
              </w:rPr>
              <w:t>总计</w:t>
            </w:r>
          </w:p>
        </w:tc>
        <w:tc>
          <w:tcPr>
            <w:tcW w:w="605" w:type="dxa"/>
            <w:tcBorders>
              <w:top w:val="single" w:color="auto" w:sz="4" w:space="0"/>
              <w:left w:val="nil"/>
              <w:bottom w:val="single" w:color="auto" w:sz="4" w:space="0"/>
              <w:right w:val="single" w:color="auto" w:sz="4" w:space="0"/>
            </w:tcBorders>
            <w:vAlign w:val="center"/>
          </w:tcPr>
          <w:p w14:paraId="0437BCCA">
            <w:pPr>
              <w:widowControl/>
              <w:spacing w:line="400" w:lineRule="exact"/>
              <w:jc w:val="center"/>
              <w:rPr>
                <w:szCs w:val="32"/>
              </w:rPr>
            </w:pPr>
            <w:r>
              <w:rPr>
                <w:rFonts w:hint="eastAsia" w:eastAsia="宋体"/>
                <w:sz w:val="20"/>
                <w:szCs w:val="20"/>
                <w:lang w:bidi="ar"/>
              </w:rPr>
              <w:t>结果维持</w:t>
            </w:r>
          </w:p>
        </w:tc>
        <w:tc>
          <w:tcPr>
            <w:tcW w:w="605" w:type="dxa"/>
            <w:tcBorders>
              <w:top w:val="single" w:color="auto" w:sz="4" w:space="0"/>
              <w:left w:val="nil"/>
              <w:bottom w:val="single" w:color="auto" w:sz="4" w:space="0"/>
              <w:right w:val="single" w:color="auto" w:sz="4" w:space="0"/>
            </w:tcBorders>
            <w:vAlign w:val="center"/>
          </w:tcPr>
          <w:p w14:paraId="4DFCD3BC">
            <w:pPr>
              <w:widowControl/>
              <w:spacing w:line="400" w:lineRule="exact"/>
              <w:jc w:val="center"/>
              <w:rPr>
                <w:szCs w:val="32"/>
              </w:rPr>
            </w:pPr>
            <w:r>
              <w:rPr>
                <w:rFonts w:hint="eastAsia" w:eastAsia="宋体"/>
                <w:sz w:val="20"/>
                <w:szCs w:val="20"/>
                <w:lang w:bidi="ar"/>
              </w:rPr>
              <w:t>结果纠正</w:t>
            </w:r>
          </w:p>
        </w:tc>
        <w:tc>
          <w:tcPr>
            <w:tcW w:w="605" w:type="dxa"/>
            <w:tcBorders>
              <w:top w:val="single" w:color="auto" w:sz="4" w:space="0"/>
              <w:left w:val="nil"/>
              <w:bottom w:val="single" w:color="auto" w:sz="4" w:space="0"/>
              <w:right w:val="single" w:color="auto" w:sz="4" w:space="0"/>
            </w:tcBorders>
            <w:vAlign w:val="center"/>
          </w:tcPr>
          <w:p w14:paraId="1FE7DB7C">
            <w:pPr>
              <w:widowControl/>
              <w:spacing w:line="400" w:lineRule="exact"/>
              <w:jc w:val="center"/>
              <w:rPr>
                <w:szCs w:val="32"/>
              </w:rPr>
            </w:pPr>
            <w:r>
              <w:rPr>
                <w:rFonts w:hint="eastAsia" w:ascii="宋体" w:hAnsi="宋体" w:eastAsia="宋体" w:cs="宋体"/>
                <w:kern w:val="0"/>
                <w:sz w:val="20"/>
                <w:szCs w:val="20"/>
                <w:lang w:bidi="ar"/>
              </w:rPr>
              <w:t>其他结果</w:t>
            </w:r>
          </w:p>
        </w:tc>
        <w:tc>
          <w:tcPr>
            <w:tcW w:w="606" w:type="dxa"/>
            <w:tcBorders>
              <w:top w:val="single" w:color="auto" w:sz="4" w:space="0"/>
              <w:left w:val="nil"/>
              <w:bottom w:val="single" w:color="auto" w:sz="4" w:space="0"/>
              <w:right w:val="single" w:color="auto" w:sz="4" w:space="0"/>
            </w:tcBorders>
            <w:vAlign w:val="center"/>
          </w:tcPr>
          <w:p w14:paraId="749AF54D">
            <w:pPr>
              <w:widowControl/>
              <w:spacing w:line="400" w:lineRule="exact"/>
              <w:jc w:val="center"/>
              <w:rPr>
                <w:szCs w:val="32"/>
              </w:rPr>
            </w:pPr>
            <w:r>
              <w:rPr>
                <w:rFonts w:hint="eastAsia" w:eastAsia="宋体"/>
                <w:sz w:val="20"/>
                <w:szCs w:val="20"/>
                <w:lang w:bidi="ar"/>
              </w:rPr>
              <w:t>尚未审结</w:t>
            </w:r>
          </w:p>
        </w:tc>
        <w:tc>
          <w:tcPr>
            <w:tcW w:w="606" w:type="dxa"/>
            <w:tcBorders>
              <w:top w:val="single" w:color="auto" w:sz="4" w:space="0"/>
              <w:left w:val="nil"/>
              <w:bottom w:val="single" w:color="auto" w:sz="4" w:space="0"/>
              <w:right w:val="single" w:color="auto" w:sz="4" w:space="0"/>
            </w:tcBorders>
            <w:vAlign w:val="center"/>
          </w:tcPr>
          <w:p w14:paraId="1BBAB7CA">
            <w:pPr>
              <w:widowControl/>
              <w:spacing w:line="400" w:lineRule="exact"/>
              <w:jc w:val="center"/>
              <w:rPr>
                <w:szCs w:val="32"/>
              </w:rPr>
            </w:pPr>
            <w:r>
              <w:rPr>
                <w:rFonts w:hint="eastAsia" w:ascii="宋体" w:hAnsi="宋体" w:eastAsia="宋体" w:cs="宋体"/>
                <w:kern w:val="0"/>
                <w:sz w:val="20"/>
                <w:szCs w:val="20"/>
                <w:lang w:bidi="ar"/>
              </w:rPr>
              <w:t>总计</w:t>
            </w:r>
          </w:p>
        </w:tc>
      </w:tr>
      <w:tr w14:paraId="16A4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vAlign w:val="center"/>
          </w:tcPr>
          <w:p w14:paraId="1C1B62EB">
            <w:pPr>
              <w:widowControl/>
              <w:spacing w:line="400" w:lineRule="exact"/>
              <w:jc w:val="center"/>
              <w:rPr>
                <w:szCs w:val="32"/>
              </w:rPr>
            </w:pPr>
            <w:r>
              <w:rPr>
                <w:rFonts w:hint="eastAsia"/>
                <w:sz w:val="20"/>
                <w:szCs w:val="20"/>
                <w:lang w:bidi="ar"/>
              </w:rPr>
              <w:t>0</w:t>
            </w:r>
          </w:p>
        </w:tc>
        <w:tc>
          <w:tcPr>
            <w:tcW w:w="604" w:type="dxa"/>
            <w:tcBorders>
              <w:top w:val="single" w:color="auto" w:sz="4" w:space="0"/>
              <w:left w:val="nil"/>
              <w:bottom w:val="single" w:color="auto" w:sz="4" w:space="0"/>
              <w:right w:val="single" w:color="auto" w:sz="4" w:space="0"/>
            </w:tcBorders>
            <w:vAlign w:val="center"/>
          </w:tcPr>
          <w:p w14:paraId="42219F01">
            <w:pPr>
              <w:widowControl/>
              <w:spacing w:line="400" w:lineRule="exact"/>
              <w:jc w:val="center"/>
              <w:rPr>
                <w:szCs w:val="32"/>
              </w:rPr>
            </w:pPr>
            <w:r>
              <w:rPr>
                <w:rFonts w:hint="eastAsia"/>
                <w:sz w:val="20"/>
                <w:szCs w:val="20"/>
                <w:lang w:bidi="ar"/>
              </w:rPr>
              <w:t>0</w:t>
            </w:r>
          </w:p>
        </w:tc>
        <w:tc>
          <w:tcPr>
            <w:tcW w:w="604" w:type="dxa"/>
            <w:tcBorders>
              <w:top w:val="single" w:color="auto" w:sz="4" w:space="0"/>
              <w:left w:val="nil"/>
              <w:bottom w:val="single" w:color="auto" w:sz="4" w:space="0"/>
              <w:right w:val="single" w:color="auto" w:sz="4" w:space="0"/>
            </w:tcBorders>
            <w:vAlign w:val="center"/>
          </w:tcPr>
          <w:p w14:paraId="32438F78">
            <w:pPr>
              <w:widowControl/>
              <w:spacing w:line="400" w:lineRule="exact"/>
              <w:jc w:val="center"/>
              <w:rPr>
                <w:szCs w:val="32"/>
              </w:rPr>
            </w:pPr>
            <w:r>
              <w:rPr>
                <w:rFonts w:hint="eastAsia"/>
                <w:sz w:val="20"/>
                <w:szCs w:val="20"/>
                <w:lang w:bidi="ar"/>
              </w:rPr>
              <w:t>0</w:t>
            </w:r>
          </w:p>
        </w:tc>
        <w:tc>
          <w:tcPr>
            <w:tcW w:w="604" w:type="dxa"/>
            <w:tcBorders>
              <w:top w:val="single" w:color="auto" w:sz="4" w:space="0"/>
              <w:left w:val="nil"/>
              <w:bottom w:val="single" w:color="auto" w:sz="4" w:space="0"/>
              <w:right w:val="single" w:color="auto" w:sz="4" w:space="0"/>
            </w:tcBorders>
            <w:vAlign w:val="center"/>
          </w:tcPr>
          <w:p w14:paraId="73301080">
            <w:pPr>
              <w:widowControl/>
              <w:spacing w:line="400" w:lineRule="exact"/>
              <w:jc w:val="center"/>
              <w:rPr>
                <w:szCs w:val="32"/>
              </w:rPr>
            </w:pPr>
            <w:r>
              <w:rPr>
                <w:rFonts w:hint="eastAsia"/>
                <w:sz w:val="20"/>
                <w:szCs w:val="20"/>
                <w:lang w:bidi="ar"/>
              </w:rPr>
              <w:t>0</w:t>
            </w:r>
          </w:p>
        </w:tc>
        <w:tc>
          <w:tcPr>
            <w:tcW w:w="658" w:type="dxa"/>
            <w:tcBorders>
              <w:top w:val="single" w:color="auto" w:sz="4" w:space="0"/>
              <w:left w:val="nil"/>
              <w:bottom w:val="single" w:color="auto" w:sz="4" w:space="0"/>
              <w:right w:val="single" w:color="auto" w:sz="4" w:space="0"/>
            </w:tcBorders>
            <w:vAlign w:val="center"/>
          </w:tcPr>
          <w:p w14:paraId="4BA3C4F1">
            <w:pPr>
              <w:widowControl/>
              <w:spacing w:line="400" w:lineRule="exact"/>
              <w:jc w:val="center"/>
              <w:rPr>
                <w:szCs w:val="32"/>
              </w:rPr>
            </w:pPr>
            <w:r>
              <w:rPr>
                <w:rFonts w:hint="eastAsia"/>
                <w:sz w:val="20"/>
                <w:szCs w:val="20"/>
                <w:lang w:bidi="ar"/>
              </w:rPr>
              <w:t>0</w:t>
            </w:r>
          </w:p>
        </w:tc>
        <w:tc>
          <w:tcPr>
            <w:tcW w:w="550" w:type="dxa"/>
            <w:tcBorders>
              <w:top w:val="single" w:color="auto" w:sz="4" w:space="0"/>
              <w:left w:val="nil"/>
              <w:bottom w:val="single" w:color="auto" w:sz="4" w:space="0"/>
              <w:right w:val="single" w:color="auto" w:sz="4" w:space="0"/>
            </w:tcBorders>
            <w:vAlign w:val="center"/>
          </w:tcPr>
          <w:p w14:paraId="6FA21825">
            <w:pPr>
              <w:widowControl/>
              <w:spacing w:line="400" w:lineRule="exact"/>
              <w:jc w:val="center"/>
              <w:rPr>
                <w:szCs w:val="32"/>
              </w:rPr>
            </w:pPr>
            <w:r>
              <w:rPr>
                <w:rFonts w:hint="eastAsia"/>
                <w:sz w:val="20"/>
                <w:szCs w:val="20"/>
                <w:lang w:bidi="ar"/>
              </w:rPr>
              <w:t>1</w:t>
            </w:r>
          </w:p>
        </w:tc>
        <w:tc>
          <w:tcPr>
            <w:tcW w:w="605" w:type="dxa"/>
            <w:tcBorders>
              <w:top w:val="single" w:color="auto" w:sz="4" w:space="0"/>
              <w:left w:val="nil"/>
              <w:bottom w:val="single" w:color="auto" w:sz="4" w:space="0"/>
              <w:right w:val="single" w:color="auto" w:sz="4" w:space="0"/>
            </w:tcBorders>
            <w:vAlign w:val="center"/>
          </w:tcPr>
          <w:p w14:paraId="03EBE395">
            <w:pPr>
              <w:widowControl/>
              <w:spacing w:line="400" w:lineRule="exact"/>
              <w:jc w:val="center"/>
              <w:rPr>
                <w:szCs w:val="32"/>
              </w:rPr>
            </w:pPr>
            <w:r>
              <w:rPr>
                <w:rFonts w:hint="eastAsia"/>
                <w:sz w:val="20"/>
                <w:szCs w:val="20"/>
                <w:lang w:bidi="ar"/>
              </w:rPr>
              <w:t>0</w:t>
            </w:r>
          </w:p>
        </w:tc>
        <w:tc>
          <w:tcPr>
            <w:tcW w:w="605" w:type="dxa"/>
            <w:tcBorders>
              <w:top w:val="single" w:color="auto" w:sz="4" w:space="0"/>
              <w:left w:val="nil"/>
              <w:bottom w:val="single" w:color="auto" w:sz="4" w:space="0"/>
              <w:right w:val="single" w:color="auto" w:sz="4" w:space="0"/>
            </w:tcBorders>
            <w:vAlign w:val="center"/>
          </w:tcPr>
          <w:p w14:paraId="018B4E99">
            <w:pPr>
              <w:widowControl/>
              <w:spacing w:line="400" w:lineRule="exact"/>
              <w:jc w:val="center"/>
              <w:rPr>
                <w:szCs w:val="32"/>
              </w:rPr>
            </w:pPr>
            <w:r>
              <w:rPr>
                <w:rFonts w:hint="eastAsia"/>
                <w:sz w:val="20"/>
                <w:szCs w:val="20"/>
                <w:lang w:bidi="ar"/>
              </w:rPr>
              <w:t>0</w:t>
            </w:r>
          </w:p>
        </w:tc>
        <w:tc>
          <w:tcPr>
            <w:tcW w:w="605" w:type="dxa"/>
            <w:tcBorders>
              <w:top w:val="single" w:color="auto" w:sz="4" w:space="0"/>
              <w:left w:val="nil"/>
              <w:bottom w:val="single" w:color="auto" w:sz="4" w:space="0"/>
              <w:right w:val="single" w:color="auto" w:sz="4" w:space="0"/>
            </w:tcBorders>
            <w:vAlign w:val="center"/>
          </w:tcPr>
          <w:p w14:paraId="7BA4D9CC">
            <w:pPr>
              <w:widowControl/>
              <w:spacing w:line="400" w:lineRule="exact"/>
              <w:jc w:val="center"/>
              <w:rPr>
                <w:szCs w:val="32"/>
              </w:rPr>
            </w:pPr>
            <w:r>
              <w:rPr>
                <w:rFonts w:hint="eastAsia"/>
                <w:sz w:val="20"/>
                <w:szCs w:val="20"/>
                <w:lang w:bidi="ar"/>
              </w:rPr>
              <w:t>0</w:t>
            </w:r>
          </w:p>
        </w:tc>
        <w:tc>
          <w:tcPr>
            <w:tcW w:w="605" w:type="dxa"/>
            <w:tcBorders>
              <w:top w:val="single" w:color="auto" w:sz="4" w:space="0"/>
              <w:left w:val="nil"/>
              <w:bottom w:val="single" w:color="auto" w:sz="4" w:space="0"/>
              <w:right w:val="single" w:color="auto" w:sz="4" w:space="0"/>
            </w:tcBorders>
            <w:vAlign w:val="center"/>
          </w:tcPr>
          <w:p w14:paraId="0EB59AA1">
            <w:pPr>
              <w:widowControl/>
              <w:spacing w:line="400" w:lineRule="exact"/>
              <w:jc w:val="center"/>
              <w:rPr>
                <w:szCs w:val="32"/>
              </w:rPr>
            </w:pPr>
            <w:r>
              <w:rPr>
                <w:rFonts w:hint="eastAsia" w:ascii="宋体" w:hAnsi="宋体" w:cs="宋体"/>
                <w:kern w:val="0"/>
                <w:sz w:val="20"/>
                <w:szCs w:val="20"/>
                <w:lang w:bidi="ar"/>
              </w:rPr>
              <w:t>1</w:t>
            </w:r>
          </w:p>
        </w:tc>
        <w:tc>
          <w:tcPr>
            <w:tcW w:w="605" w:type="dxa"/>
            <w:tcBorders>
              <w:top w:val="single" w:color="auto" w:sz="4" w:space="0"/>
              <w:left w:val="nil"/>
              <w:bottom w:val="single" w:color="auto" w:sz="4" w:space="0"/>
              <w:right w:val="single" w:color="auto" w:sz="4" w:space="0"/>
            </w:tcBorders>
            <w:vAlign w:val="center"/>
          </w:tcPr>
          <w:p w14:paraId="34937F92">
            <w:pPr>
              <w:widowControl/>
              <w:spacing w:line="400" w:lineRule="exact"/>
              <w:jc w:val="center"/>
              <w:rPr>
                <w:szCs w:val="32"/>
              </w:rPr>
            </w:pPr>
            <w:r>
              <w:rPr>
                <w:rFonts w:hint="eastAsia"/>
                <w:sz w:val="20"/>
                <w:szCs w:val="20"/>
                <w:lang w:bidi="ar"/>
              </w:rPr>
              <w:t>0</w:t>
            </w:r>
          </w:p>
        </w:tc>
        <w:tc>
          <w:tcPr>
            <w:tcW w:w="605" w:type="dxa"/>
            <w:tcBorders>
              <w:top w:val="single" w:color="auto" w:sz="4" w:space="0"/>
              <w:left w:val="nil"/>
              <w:bottom w:val="single" w:color="auto" w:sz="4" w:space="0"/>
              <w:right w:val="single" w:color="auto" w:sz="4" w:space="0"/>
            </w:tcBorders>
            <w:vAlign w:val="center"/>
          </w:tcPr>
          <w:p w14:paraId="17BB0D55">
            <w:pPr>
              <w:widowControl/>
              <w:spacing w:line="400" w:lineRule="exact"/>
              <w:jc w:val="center"/>
              <w:rPr>
                <w:szCs w:val="32"/>
              </w:rPr>
            </w:pPr>
            <w:r>
              <w:rPr>
                <w:rFonts w:hint="eastAsia"/>
                <w:sz w:val="20"/>
                <w:szCs w:val="20"/>
                <w:lang w:bidi="ar"/>
              </w:rPr>
              <w:t>0</w:t>
            </w:r>
          </w:p>
        </w:tc>
        <w:tc>
          <w:tcPr>
            <w:tcW w:w="605" w:type="dxa"/>
            <w:tcBorders>
              <w:top w:val="single" w:color="auto" w:sz="4" w:space="0"/>
              <w:left w:val="nil"/>
              <w:bottom w:val="single" w:color="auto" w:sz="4" w:space="0"/>
              <w:right w:val="single" w:color="auto" w:sz="4" w:space="0"/>
            </w:tcBorders>
            <w:vAlign w:val="center"/>
          </w:tcPr>
          <w:p w14:paraId="37EB5AEB">
            <w:pPr>
              <w:widowControl/>
              <w:spacing w:line="400" w:lineRule="exact"/>
              <w:jc w:val="center"/>
              <w:rPr>
                <w:szCs w:val="32"/>
              </w:rPr>
            </w:pPr>
            <w:r>
              <w:rPr>
                <w:rFonts w:hint="eastAsia" w:ascii="宋体" w:hAnsi="宋体" w:cs="宋体"/>
                <w:kern w:val="0"/>
                <w:sz w:val="20"/>
                <w:szCs w:val="20"/>
                <w:lang w:bidi="ar"/>
              </w:rPr>
              <w:t>0</w:t>
            </w:r>
          </w:p>
        </w:tc>
        <w:tc>
          <w:tcPr>
            <w:tcW w:w="606" w:type="dxa"/>
            <w:tcBorders>
              <w:top w:val="single" w:color="auto" w:sz="4" w:space="0"/>
              <w:left w:val="nil"/>
              <w:bottom w:val="single" w:color="auto" w:sz="4" w:space="0"/>
              <w:right w:val="single" w:color="auto" w:sz="4" w:space="0"/>
            </w:tcBorders>
            <w:vAlign w:val="center"/>
          </w:tcPr>
          <w:p w14:paraId="1420922F">
            <w:pPr>
              <w:widowControl/>
              <w:spacing w:line="400" w:lineRule="exact"/>
              <w:jc w:val="center"/>
              <w:rPr>
                <w:szCs w:val="32"/>
              </w:rPr>
            </w:pPr>
            <w:r>
              <w:rPr>
                <w:rFonts w:hint="eastAsia"/>
                <w:sz w:val="20"/>
                <w:szCs w:val="20"/>
                <w:lang w:bidi="ar"/>
              </w:rPr>
              <w:t>0</w:t>
            </w:r>
          </w:p>
        </w:tc>
        <w:tc>
          <w:tcPr>
            <w:tcW w:w="606" w:type="dxa"/>
            <w:tcBorders>
              <w:top w:val="single" w:color="auto" w:sz="4" w:space="0"/>
              <w:left w:val="nil"/>
              <w:bottom w:val="single" w:color="auto" w:sz="4" w:space="0"/>
              <w:right w:val="single" w:color="auto" w:sz="4" w:space="0"/>
            </w:tcBorders>
            <w:vAlign w:val="center"/>
          </w:tcPr>
          <w:p w14:paraId="69AEB636">
            <w:pPr>
              <w:widowControl/>
              <w:spacing w:line="400" w:lineRule="exact"/>
              <w:jc w:val="center"/>
              <w:rPr>
                <w:rFonts w:hint="eastAsia" w:ascii="宋体" w:hAnsi="宋体" w:eastAsia="宋体" w:cs="宋体"/>
                <w:sz w:val="21"/>
                <w:szCs w:val="21"/>
              </w:rPr>
            </w:pPr>
            <w:r>
              <w:rPr>
                <w:rFonts w:hint="eastAsia" w:ascii="宋体" w:hAnsi="宋体" w:cs="宋体"/>
                <w:sz w:val="21"/>
                <w:szCs w:val="21"/>
              </w:rPr>
              <w:t>0</w:t>
            </w:r>
          </w:p>
        </w:tc>
      </w:tr>
    </w:tbl>
    <w:p w14:paraId="1EFAEB42">
      <w:pPr>
        <w:pStyle w:val="5"/>
        <w:widowControl/>
        <w:numPr>
          <w:ilvl w:val="0"/>
          <w:numId w:val="0"/>
        </w:numPr>
        <w:spacing w:before="0" w:beforeAutospacing="0" w:after="0" w:afterAutospacing="0" w:line="560" w:lineRule="exact"/>
        <w:ind w:left="0" w:firstLine="636" w:firstLineChars="200"/>
        <w:jc w:val="both"/>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存在的主要问题及改进情况</w:t>
      </w:r>
    </w:p>
    <w:p w14:paraId="5F506062">
      <w:pPr>
        <w:spacing w:line="560" w:lineRule="exact"/>
        <w:ind w:firstLine="636" w:firstLineChars="200"/>
        <w:rPr>
          <w:rFonts w:hint="eastAsia" w:ascii="仿宋_GB2312" w:cs="仿宋_GB2312"/>
          <w:szCs w:val="32"/>
        </w:rPr>
      </w:pPr>
      <w:r>
        <w:rPr>
          <w:rFonts w:hint="eastAsia" w:ascii="仿宋_GB2312"/>
          <w:szCs w:val="32"/>
        </w:rPr>
        <w:t>虽然我厅在政务公开工作上取得一定的成效，但在工作中仍存在一定的困难和问题，主要有：</w:t>
      </w:r>
      <w:r>
        <w:rPr>
          <w:rFonts w:hint="eastAsia" w:ascii="仿宋_GB2312"/>
          <w:b/>
          <w:bCs/>
          <w:szCs w:val="32"/>
        </w:rPr>
        <w:t>一是</w:t>
      </w:r>
      <w:r>
        <w:rPr>
          <w:rFonts w:hint="eastAsia" w:ascii="仿宋_GB2312" w:cs="仿宋_GB2312"/>
          <w:szCs w:val="32"/>
        </w:rPr>
        <w:t>群众对公开透明的期待不断增强，对政府信息公开的诉求日趋多样，人社工作涉及民生，群众关注度高，政务公开、政府信息公开的工作量明显上升。个别申请人因多年信访问题未解决，转而申请政府信息公开，工作复杂度不断加大，面临行政复议、行政诉讼的压力也进一步增强。</w:t>
      </w:r>
      <w:r>
        <w:rPr>
          <w:rFonts w:hint="eastAsia" w:ascii="仿宋_GB2312" w:cs="仿宋_GB2312"/>
          <w:b/>
          <w:bCs/>
          <w:szCs w:val="32"/>
        </w:rPr>
        <w:t>二是</w:t>
      </w:r>
      <w:r>
        <w:rPr>
          <w:rFonts w:hint="eastAsia" w:ascii="仿宋_GB2312" w:cs="仿宋_GB2312"/>
          <w:szCs w:val="32"/>
        </w:rPr>
        <w:t>对重大政策措施的解读力度仍需进一步加强，对专业性较强的政策解读还需进一步形象化、通俗化。针对这些问题，我们将采取有效措施，积极加以改进：</w:t>
      </w:r>
      <w:r>
        <w:rPr>
          <w:rFonts w:hint="eastAsia" w:ascii="仿宋_GB2312" w:cs="仿宋_GB2312"/>
          <w:b/>
          <w:bCs/>
          <w:szCs w:val="32"/>
        </w:rPr>
        <w:t>一是</w:t>
      </w:r>
      <w:r>
        <w:rPr>
          <w:rFonts w:hint="eastAsia" w:ascii="仿宋_GB2312" w:cs="仿宋_GB2312"/>
          <w:szCs w:val="32"/>
        </w:rPr>
        <w:t>进一步加强工作人员培训，积极参与人社部、省政府办公厅的业务培训，开展对市、县（区）人社部门政务公开工作的深入调研，加强与省直有关部门的工作交流，不断提升工作人员业务素质；</w:t>
      </w:r>
      <w:r>
        <w:rPr>
          <w:rFonts w:hint="eastAsia" w:ascii="仿宋_GB2312" w:cs="仿宋_GB2312"/>
          <w:b/>
          <w:bCs/>
          <w:szCs w:val="32"/>
        </w:rPr>
        <w:t>二是</w:t>
      </w:r>
      <w:r>
        <w:rPr>
          <w:rFonts w:hint="eastAsia" w:ascii="仿宋_GB2312" w:cs="仿宋_GB2312"/>
          <w:szCs w:val="32"/>
        </w:rPr>
        <w:t>进一步加强与申请人的沟通，耐心细致为申请人答疑释惑，尽最大努力做好服务工作；</w:t>
      </w:r>
      <w:r>
        <w:rPr>
          <w:rFonts w:hint="eastAsia" w:ascii="仿宋_GB2312" w:cs="仿宋_GB2312"/>
          <w:b/>
          <w:bCs/>
          <w:szCs w:val="32"/>
        </w:rPr>
        <w:t>三是</w:t>
      </w:r>
      <w:r>
        <w:rPr>
          <w:rFonts w:hint="eastAsia" w:ascii="仿宋_GB2312" w:cs="仿宋_GB2312"/>
          <w:szCs w:val="32"/>
        </w:rPr>
        <w:t>进一步加强对政策进行形象化、通俗化、立体式、多方位解读，进一步提升解读的准确性、贴近性，努力增强解读回应效果。</w:t>
      </w:r>
    </w:p>
    <w:p w14:paraId="583F3627">
      <w:pPr>
        <w:pStyle w:val="5"/>
        <w:widowControl/>
        <w:numPr>
          <w:ilvl w:val="0"/>
          <w:numId w:val="0"/>
        </w:numPr>
        <w:spacing w:before="0" w:beforeAutospacing="0" w:after="0" w:afterAutospacing="0" w:line="560" w:lineRule="exact"/>
        <w:ind w:left="0" w:firstLine="636" w:firstLineChars="200"/>
        <w:jc w:val="both"/>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无其他需要报告的事项</w:t>
      </w:r>
    </w:p>
    <w:p w14:paraId="29E24023">
      <w:pPr>
        <w:tabs>
          <w:tab w:val="left" w:pos="159"/>
          <w:tab w:val="left" w:pos="477"/>
        </w:tabs>
        <w:spacing w:line="560" w:lineRule="exact"/>
        <w:ind w:firstLine="636" w:firstLineChars="200"/>
        <w:textAlignment w:val="auto"/>
        <w:rPr>
          <w:rFonts w:hint="eastAsia" w:ascii="仿宋_GB2312"/>
        </w:rPr>
      </w:pPr>
      <w:r>
        <w:rPr>
          <w:rFonts w:hint="eastAsia" w:ascii="仿宋_GB2312" w:cs="仿宋_GB2312"/>
          <w:szCs w:val="32"/>
        </w:rPr>
        <w:t>下一步，我厅将在人社部办公厅、省政府办公厅指导下，进一步健全政务公开机制，进一步加强政策解读回应，进一步提升政务公开质量，不断</w:t>
      </w:r>
      <w:r>
        <w:rPr>
          <w:rFonts w:hint="eastAsia" w:ascii="仿宋_GB2312"/>
        </w:rPr>
        <w:t>丰富公开内容、优化公开渠道、强化依申请公开，</w:t>
      </w:r>
      <w:r>
        <w:rPr>
          <w:rFonts w:hint="eastAsia" w:ascii="仿宋_GB2312" w:cs="仿宋_GB2312"/>
          <w:szCs w:val="32"/>
        </w:rPr>
        <w:t>全面推进全省人社系统的政务公开工作。</w:t>
      </w:r>
    </w:p>
    <w:p w14:paraId="4AAEC608">
      <w:pPr>
        <w:spacing w:line="560" w:lineRule="exact"/>
        <w:ind w:firstLine="0" w:firstLineChars="0"/>
        <w:rPr>
          <w:rFonts w:hint="eastAsia" w:ascii="仿宋_GB2312" w:eastAsia="仿宋_GB2312" w:cs="仿宋_GB2312"/>
          <w:szCs w:val="32"/>
          <w:lang w:val="en-US" w:eastAsia="zh-CN"/>
        </w:rPr>
      </w:pPr>
    </w:p>
    <w:p w14:paraId="042A8B8A">
      <w:pPr>
        <w:tabs>
          <w:tab w:val="left" w:pos="159"/>
          <w:tab w:val="left" w:pos="477"/>
        </w:tabs>
        <w:spacing w:line="560" w:lineRule="exact"/>
        <w:ind w:firstLine="954" w:firstLineChars="300"/>
        <w:textAlignment w:val="auto"/>
        <w:rPr>
          <w:rFonts w:hint="eastAsia" w:ascii="仿宋_GB2312"/>
        </w:rPr>
      </w:pPr>
    </w:p>
    <w:p w14:paraId="30CCACC8"/>
    <w:sectPr>
      <w:headerReference r:id="rId3" w:type="default"/>
      <w:footerReference r:id="rId4" w:type="default"/>
      <w:footerReference r:id="rId5" w:type="even"/>
      <w:pgSz w:w="11906" w:h="16838"/>
      <w:pgMar w:top="2098" w:right="1418" w:bottom="1588" w:left="1588" w:header="851" w:footer="1361" w:gutter="0"/>
      <w:cols w:space="720" w:num="1"/>
      <w:titlePg/>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简体">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42EE">
    <w:pPr>
      <w:pStyle w:val="3"/>
      <w:framePr w:wrap="around" w:vAnchor="text" w:hAnchor="margin" w:xAlign="outside" w:y="1"/>
      <w:ind w:right="320" w:rightChars="100"/>
      <w:jc w:val="center"/>
      <w:rPr>
        <w:rStyle w:val="8"/>
        <w:rFonts w:hint="eastAsia"/>
        <w:sz w:val="28"/>
        <w:szCs w:val="28"/>
      </w:rPr>
    </w:pPr>
    <w:r>
      <w:rPr>
        <w:rStyle w:val="8"/>
        <w:rFonts w:hint="eastAsia" w:ascii="宋体" w:hAnsi="宋体"/>
        <w:sz w:val="28"/>
        <w:szCs w:val="28"/>
      </w:rPr>
      <w:t xml:space="preserve">— </w:t>
    </w: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rPr>
      <w:t>9</w:t>
    </w:r>
    <w:r>
      <w:rPr>
        <w:rFonts w:hint="eastAsia" w:ascii="宋体" w:hAnsi="宋体"/>
        <w:sz w:val="28"/>
        <w:szCs w:val="28"/>
      </w:rPr>
      <w:fldChar w:fldCharType="end"/>
    </w:r>
    <w:r>
      <w:rPr>
        <w:rStyle w:val="8"/>
        <w:rFonts w:hint="eastAsia" w:ascii="宋体" w:hAnsi="宋体"/>
        <w:sz w:val="28"/>
        <w:szCs w:val="28"/>
      </w:rPr>
      <w:t xml:space="preserve"> —</w:t>
    </w:r>
  </w:p>
  <w:p w14:paraId="4014F1A9">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06C28">
    <w:pPr>
      <w:pStyle w:val="3"/>
      <w:framePr w:wrap="around" w:vAnchor="text" w:hAnchor="margin" w:xAlign="outside" w:y="1"/>
      <w:ind w:left="320" w:leftChars="100"/>
      <w:rPr>
        <w:rStyle w:val="8"/>
        <w:rFonts w:hint="eastAsia" w:ascii="宋体" w:hAnsi="宋体" w:eastAsia="宋体"/>
      </w:rPr>
    </w:pPr>
    <w:r>
      <w:rPr>
        <w:rStyle w:val="8"/>
        <w:rFonts w:hint="eastAsia" w:ascii="宋体" w:hAnsi="宋体" w:eastAsia="宋体"/>
        <w:sz w:val="28"/>
        <w:szCs w:val="28"/>
      </w:rPr>
      <w:t>—</w:t>
    </w:r>
    <w:r>
      <w:rPr>
        <w:rStyle w:val="8"/>
        <w:rFonts w:hint="eastAsia" w:ascii="宋体" w:hAnsi="宋体" w:eastAsia="宋体"/>
      </w:rPr>
      <w:t xml:space="preserve"> </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10</w:t>
    </w:r>
    <w:r>
      <w:rPr>
        <w:rFonts w:ascii="宋体" w:hAnsi="宋体" w:eastAsia="宋体"/>
        <w:sz w:val="28"/>
        <w:szCs w:val="28"/>
      </w:rPr>
      <w:fldChar w:fldCharType="end"/>
    </w:r>
    <w:r>
      <w:rPr>
        <w:rStyle w:val="8"/>
        <w:rFonts w:hint="eastAsia" w:ascii="宋体" w:hAnsi="宋体" w:eastAsia="宋体"/>
        <w:sz w:val="28"/>
        <w:szCs w:val="28"/>
      </w:rPr>
      <w:t xml:space="preserve"> —</w:t>
    </w:r>
  </w:p>
  <w:p w14:paraId="44E66F4E">
    <w:pPr>
      <w:pStyle w:val="3"/>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2ADE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C163B"/>
    <w:rsid w:val="00E36A2B"/>
    <w:rsid w:val="672C163B"/>
    <w:rsid w:val="68A22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uiPriority w:val="0"/>
    <w:rPr>
      <w:rFonts w:ascii="仿宋_GB2312" w:eastAsia="仿宋_GB2312"/>
      <w:sz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p0"/>
    <w:basedOn w:val="1"/>
    <w:qFormat/>
    <w:uiPriority w:val="0"/>
    <w:pPr>
      <w:widowControl/>
    </w:pPr>
    <w:rPr>
      <w:rFonts w:eastAsia="宋体"/>
      <w:kern w:val="0"/>
      <w:szCs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7145</Words>
  <Characters>7354</Characters>
  <Lines>0</Lines>
  <Paragraphs>0</Paragraphs>
  <TotalTime>1</TotalTime>
  <ScaleCrop>false</ScaleCrop>
  <LinksUpToDate>false</LinksUpToDate>
  <CharactersWithSpaces>7558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2020-01-16T07:28:00Z</dcterms:created>
  <dc:creator>user</dc:creator>
  <cp:lastModifiedBy>Villanelle</cp:lastModifiedBy>
  <dcterms:modified xsi:type="dcterms:W3CDTF">2026-06-09T08:33:03Z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eyJoZGlkIjoiZTA3ZmRjYzEwZWE4YzhjM2MxOGU5MmI5ZGYzOWY4ZTAiLCJ1c2VySWQiOiIzMjAxMjU3ODEifQ==</vt:lpwstr>
  </property>
  <property fmtid="{D5CDD505-2E9C-101B-9397-08002B2CF9AE}" pid="4" name="ICV">
    <vt:lpwstr>7373F29C4E38481A887C8D20726E0878_13</vt:lpwstr>
  </property>
</Properties>
</file>