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firstLine="0" w:firstLineChars="0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pacing w:line="596" w:lineRule="exact"/>
        <w:ind w:firstLine="0" w:firstLineChars="0"/>
        <w:textAlignment w:val="top"/>
        <w:rPr>
          <w:rFonts w:hint="default" w:ascii="黑体" w:hAnsi="黑体" w:eastAsia="黑体" w:cs="黑体"/>
          <w:lang w:val="en-US" w:eastAsia="zh-CN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20-2021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年省级劳动关系和谐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企业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名单（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149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家）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仿宋_GB2312" w:hAnsi="Times New Roman" w:cs="宋体"/>
          <w:color w:val="000000"/>
          <w:kern w:val="0"/>
        </w:rPr>
      </w:pPr>
      <w:r>
        <w:rPr>
          <w:rFonts w:hint="eastAsia" w:ascii="仿宋_GB2312" w:hAnsi="Times New Roman" w:cs="宋体"/>
          <w:color w:val="000000"/>
          <w:kern w:val="0"/>
        </w:rPr>
        <w:t>（</w:t>
      </w:r>
      <w:r>
        <w:rPr>
          <w:rFonts w:hint="eastAsia" w:ascii="仿宋_GB2312" w:hAnsi="Times New Roman" w:cs="宋体"/>
          <w:color w:val="000000"/>
          <w:kern w:val="0"/>
          <w:lang w:eastAsia="zh-CN"/>
        </w:rPr>
        <w:t>排名</w:t>
      </w:r>
      <w:r>
        <w:rPr>
          <w:rFonts w:hint="eastAsia" w:ascii="仿宋_GB2312" w:hAnsi="宋体" w:cs="Times New Roman"/>
        </w:rPr>
        <w:t>不分先后</w:t>
      </w:r>
      <w:r>
        <w:rPr>
          <w:rFonts w:hint="eastAsia" w:ascii="仿宋_GB2312" w:hAnsi="Times New Roman" w:cs="宋体"/>
          <w:color w:val="000000"/>
          <w:kern w:val="0"/>
        </w:rPr>
        <w:t>）</w:t>
      </w:r>
    </w:p>
    <w:p>
      <w:pPr>
        <w:spacing w:line="596" w:lineRule="exact"/>
        <w:ind w:firstLine="0" w:firstLineChars="0"/>
        <w:textAlignment w:val="top"/>
        <w:rPr>
          <w:rFonts w:hint="eastAsia" w:ascii="仿宋_GB2312" w:hAnsi="Times New Roman" w:cs="Times New Roman"/>
          <w:lang w:val="en-US" w:eastAsia="zh-CN"/>
        </w:rPr>
      </w:pP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福州市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福建省建设人力资源集团股份公司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福州华诺技术服务有限公司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福州顺丰速运有限公司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福州市城乡建总集团有限公司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福州聚春园会展酒店有限公司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恒锋信息科技股份有限公司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福州日兴水产食品有限公司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福建绿艺园林景观工程有限公司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智恒科技股份有限公司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福建君道控股集团股份有限公司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福建永安物业管理有限公司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福建榕鸿建设有限公司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福建海峡人力资源股份有限公司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福建得乾集团有限责任公司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福州大弘朗洁环保有限公司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福建省博达企业管理咨询服务有限公司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福建省金皇环保科技有限公司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福建恒智信息技术有限公司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春晖科技集团有限公司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福建东南保安守押有限公司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福州市人才发展集团有限公司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福建思嘉环保材料科技有限公司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宏东渔业股份有限公司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福建福光股份有限公司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锦曦控股集团有限公司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福建星云电子股份有限公司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安德佳（福建）铝饰科技有限公司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福建省融旗建设工程有限公司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福州京东方光电科技有限公司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爹地宝贝股份有限公司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福州海瀛湾佰翔酒店有限公司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福建雪人股份有限公司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福建福特科光电股份有限公司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福建奔驰汽车有限公司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中建（福建）建设有限公司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福建亿达食品有限公司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福建礼恩科技有限公司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闽清广安天然气有限公司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华能（福建）海港有限公司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2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世纪金源物业服务集团有限公司罗源分公司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20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福建深纳生物工程有限公司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20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福州迈新生物技术开发有限公司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20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596" w:lineRule="exact"/>
        <w:ind w:firstLine="640" w:firstLineChars="200"/>
        <w:textAlignment w:val="top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厦门市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厦门鲁班源房屋营造有限公司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厦门易法通法务信息管理股份有限公司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奥佳华智能健康科技集团股份有限公司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厦门中联永亨建设集团有限公司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厦门市捷安建设集团有限公司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厦门海谊楼宇经营管理有限公司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厦门特力通信息技术股份有限公司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厦门艾德生物医药科技股份有限公司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华懋（厦门）新材料科技股份有限公司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宸展光电(厦门)股份有限公司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路达（厦门）工业有限公司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金牌橱柜家居科技股份有限公司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厦门闽光电气实业有限公司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厦门绿洁嘉缘环卫园林技术有限公司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厦门科司特电子工业有限公司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厦门强力巨彩光电科技有限公司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厦门富承电子有限公司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厦门市燕之屋丝浓食品有限公司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漳州市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漳州宾馆有限公司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漳州人才发展集团有限公司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宋体" w:cs="Times New Roman"/>
          <w:lang w:val="en-US" w:eastAsia="zh-CN"/>
        </w:rPr>
        <w:t>丝耐洁（福建）口腔健康科技有限公司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福建片仔癀化妆品有限公司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漳州市高清保洁服务有限公司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福建万辰生物科技股份有限公司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福建龙睿投资有限公司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漳州宏发电声有限公司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漳州松霖智能家居有限公司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华电福瑞能源发展有限公司华安水力发电厂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漳州市烟草公司云霄分公司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福建领峰食品有限公司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百威雪津（漳州）啤酒有限公司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漳州科能电器有限公司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大闽食品（漳州）有限公司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泉州市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泉州市康乐物业服务有限公司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福建省巨爵网络科技有限公司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福建烟草机械有限公司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兴通海运股份有限公司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福建凤竹纺织科技股份有限公司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福建盼盼食品有限公司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福建恒安集团有限公司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南安市南泉制衣有限公司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福建南王环保科技股份有限公司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福建泉州闽光钢铁有限责任公司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福建省海佳集团股份有限公司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福建永春老醋醋业有限责任公司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  <w:t>泉州市华德机电设备有限公司</w:t>
      </w:r>
      <w:r>
        <w:rPr>
          <w:rFonts w:hint="eastAsia" w:ascii="仿宋_GB2312" w:hAnsi="华文仿宋" w:eastAsia="仿宋_GB2312" w:cs="Times New Roman"/>
          <w:sz w:val="32"/>
          <w:szCs w:val="32"/>
        </w:rPr>
        <w:t xml:space="preserve"> 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cs="Times New Roman"/>
          <w:color w:val="000000"/>
          <w:sz w:val="32"/>
        </w:rPr>
      </w:pPr>
      <w:r>
        <w:rPr>
          <w:rFonts w:hint="eastAsia" w:ascii="宋体" w:hAnsi="宋体" w:cs="Times New Roman"/>
          <w:color w:val="000000"/>
          <w:sz w:val="32"/>
        </w:rPr>
        <w:t>福建省清流县东莹化工有限公司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cs="Times New Roman"/>
          <w:color w:val="000000"/>
          <w:sz w:val="32"/>
        </w:rPr>
      </w:pPr>
      <w:r>
        <w:rPr>
          <w:rFonts w:hint="eastAsia" w:ascii="宋体" w:hAnsi="宋体" w:cs="Times New Roman"/>
          <w:color w:val="000000"/>
          <w:sz w:val="32"/>
        </w:rPr>
        <w:t>福建科宏生物工程股份有限公司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cs="Times New Roman"/>
          <w:color w:val="000000"/>
          <w:sz w:val="32"/>
          <w:lang w:eastAsia="zh-CN"/>
        </w:rPr>
      </w:pPr>
      <w:r>
        <w:rPr>
          <w:rFonts w:hint="eastAsia" w:ascii="宋体" w:hAnsi="宋体" w:cs="Times New Roman"/>
          <w:color w:val="000000"/>
          <w:sz w:val="32"/>
        </w:rPr>
        <w:t>福建联益建设有限公司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cs="Times New Roman"/>
          <w:color w:val="000000"/>
          <w:sz w:val="32"/>
        </w:rPr>
      </w:pPr>
      <w:r>
        <w:rPr>
          <w:rFonts w:hint="eastAsia" w:ascii="宋体" w:hAnsi="宋体" w:cs="Times New Roman"/>
          <w:color w:val="000000"/>
          <w:sz w:val="32"/>
        </w:rPr>
        <w:t>福建省水利投资集团（尤溪）水务有限公司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cs="Times New Roman"/>
          <w:color w:val="000000"/>
          <w:sz w:val="32"/>
          <w:lang w:eastAsia="zh-CN"/>
        </w:rPr>
      </w:pPr>
      <w:r>
        <w:rPr>
          <w:rFonts w:hint="eastAsia" w:ascii="宋体" w:hAnsi="宋体" w:cs="Times New Roman"/>
          <w:color w:val="000000"/>
          <w:sz w:val="32"/>
        </w:rPr>
        <w:t>福建紫</w:t>
      </w:r>
      <w:r>
        <w:rPr>
          <w:rFonts w:hint="eastAsia" w:ascii="宋体" w:hAnsi="宋体" w:cs="Times New Roman"/>
          <w:color w:val="000000"/>
          <w:sz w:val="32"/>
          <w:lang w:eastAsia="zh-CN"/>
        </w:rPr>
        <w:t>杉</w:t>
      </w:r>
      <w:r>
        <w:rPr>
          <w:rFonts w:hint="eastAsia" w:ascii="宋体" w:hAnsi="宋体" w:cs="Times New Roman"/>
          <w:color w:val="000000"/>
          <w:sz w:val="32"/>
        </w:rPr>
        <w:t>园生物有限公司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cs="Times New Roman"/>
          <w:color w:val="000000"/>
          <w:sz w:val="32"/>
        </w:rPr>
      </w:pPr>
      <w:r>
        <w:rPr>
          <w:rFonts w:hint="eastAsia" w:ascii="宋体" w:hAnsi="宋体" w:cs="Times New Roman"/>
          <w:color w:val="000000"/>
          <w:sz w:val="32"/>
        </w:rPr>
        <w:t>泰宁</w:t>
      </w:r>
      <w:r>
        <w:rPr>
          <w:rFonts w:hint="eastAsia" w:ascii="宋体" w:hAnsi="宋体" w:cs="Times New Roman"/>
          <w:color w:val="000000"/>
          <w:sz w:val="32"/>
          <w:lang w:eastAsia="zh-CN"/>
        </w:rPr>
        <w:t>县</w:t>
      </w:r>
      <w:r>
        <w:rPr>
          <w:rFonts w:hint="eastAsia" w:ascii="宋体" w:hAnsi="宋体" w:cs="Times New Roman"/>
          <w:color w:val="000000"/>
          <w:sz w:val="32"/>
        </w:rPr>
        <w:t>金湖康辉旅行社有限公司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cs="Times New Roman"/>
          <w:color w:val="000000"/>
          <w:sz w:val="32"/>
        </w:rPr>
      </w:pPr>
      <w:r>
        <w:rPr>
          <w:rFonts w:hint="eastAsia" w:ascii="宋体" w:hAnsi="宋体" w:cs="Times New Roman"/>
          <w:color w:val="000000"/>
          <w:sz w:val="32"/>
        </w:rPr>
        <w:t>建宁</w:t>
      </w:r>
      <w:r>
        <w:rPr>
          <w:rFonts w:hint="eastAsia" w:ascii="宋体" w:hAnsi="宋体" w:cs="Times New Roman"/>
          <w:color w:val="000000"/>
          <w:sz w:val="32"/>
          <w:lang w:eastAsia="zh-CN"/>
        </w:rPr>
        <w:t>县</w:t>
      </w:r>
      <w:r>
        <w:rPr>
          <w:rFonts w:hint="eastAsia" w:ascii="宋体" w:hAnsi="宋体" w:cs="Times New Roman"/>
          <w:color w:val="000000"/>
          <w:sz w:val="32"/>
        </w:rPr>
        <w:t>旅游大酒店有限公司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cs="Times New Roman"/>
          <w:color w:val="000000"/>
          <w:sz w:val="32"/>
        </w:rPr>
      </w:pPr>
      <w:r>
        <w:rPr>
          <w:rFonts w:hint="eastAsia" w:ascii="宋体" w:hAnsi="宋体" w:cs="Times New Roman"/>
          <w:color w:val="000000"/>
          <w:sz w:val="32"/>
        </w:rPr>
        <w:t>福建省将乐县</w:t>
      </w:r>
      <w:r>
        <w:rPr>
          <w:rFonts w:hint="eastAsia" w:ascii="宋体" w:hAnsi="宋体" w:cs="Times New Roman"/>
          <w:color w:val="000000"/>
          <w:sz w:val="32"/>
          <w:lang w:eastAsia="zh-CN"/>
        </w:rPr>
        <w:t>玉华</w:t>
      </w:r>
      <w:r>
        <w:rPr>
          <w:rFonts w:hint="eastAsia" w:ascii="宋体" w:hAnsi="宋体" w:cs="Times New Roman"/>
          <w:color w:val="000000"/>
          <w:sz w:val="32"/>
        </w:rPr>
        <w:t>文旅康养集团有限责任公司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color w:val="000000"/>
          <w:sz w:val="32"/>
        </w:rPr>
        <w:t>中国邮政集团有限公司三明市分公司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莆田市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莆田市协诚鞋业有限公司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福建恒而达新材料股份有限公司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莆田市力奴鞋业有限公司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福建星绿环境有限公司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莆田市圣元环保电力有限公司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莆田市忠湄轮渡有限责任公司</w:t>
      </w:r>
    </w:p>
    <w:p>
      <w:pPr>
        <w:spacing w:line="596" w:lineRule="exact"/>
        <w:ind w:firstLine="640" w:firstLineChars="200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国投云顶湄洲湾电力有限公司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南平市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南平元力活性炭有限公司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福建省南平市三红电缆有限公司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南平华孚电器有限公司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龙竹科技集团股份有限公司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福建武夷兴华实业有限公司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福建杜氏木业有限公司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福建明良食品有限公司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bCs/>
          <w:szCs w:val="32"/>
        </w:rPr>
      </w:pPr>
      <w:r>
        <w:rPr>
          <w:rFonts w:hint="eastAsia" w:ascii="Times New Roman" w:hAnsi="Times New Roman" w:cs="Times New Roman"/>
          <w:bCs/>
          <w:szCs w:val="32"/>
        </w:rPr>
        <w:t>福建省顺昌谟武水电有限责任公司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cs="仿宋_GB2312"/>
          <w:bCs w:val="0"/>
          <w:szCs w:val="32"/>
        </w:rPr>
      </w:pPr>
      <w:r>
        <w:rPr>
          <w:rFonts w:hint="eastAsia" w:ascii="仿宋_GB2312" w:hAnsi="仿宋_GB2312" w:cs="仿宋_GB2312"/>
          <w:bCs w:val="0"/>
          <w:szCs w:val="32"/>
        </w:rPr>
        <w:t>浦城正大生化有限公司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cs="仿宋_GB2312"/>
          <w:bCs w:val="0"/>
          <w:szCs w:val="32"/>
        </w:rPr>
      </w:pPr>
      <w:r>
        <w:rPr>
          <w:rFonts w:hint="eastAsia" w:ascii="仿宋_GB2312" w:hAnsi="仿宋_GB2312" w:cs="仿宋_GB2312"/>
          <w:bCs w:val="0"/>
          <w:szCs w:val="32"/>
        </w:rPr>
        <w:t>南平市烟草公司光泽分公司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cs="仿宋_GB2312"/>
          <w:bCs w:val="0"/>
          <w:szCs w:val="32"/>
        </w:rPr>
      </w:pPr>
      <w:r>
        <w:rPr>
          <w:rFonts w:hint="eastAsia" w:ascii="仿宋_GB2312" w:hAnsi="仿宋_GB2312" w:cs="仿宋_GB2312"/>
          <w:bCs w:val="0"/>
          <w:szCs w:val="32"/>
        </w:rPr>
        <w:t>福建强跃机械科技发展有限公司</w:t>
      </w:r>
    </w:p>
    <w:p>
      <w:pPr>
        <w:spacing w:line="500" w:lineRule="exact"/>
        <w:ind w:left="0" w:leftChars="0" w:firstLine="640" w:firstLineChars="0"/>
        <w:textAlignment w:val="auto"/>
        <w:outlineLvl w:val="9"/>
        <w:rPr>
          <w:rFonts w:hint="eastAsia" w:ascii="仿宋_GB2312" w:hAnsi="仿宋_GB2312" w:cs="仿宋_GB2312"/>
          <w:bCs w:val="0"/>
          <w:szCs w:val="32"/>
        </w:rPr>
      </w:pPr>
      <w:r>
        <w:rPr>
          <w:rFonts w:hint="eastAsia" w:ascii="仿宋_GB2312" w:hAnsi="仿宋_GB2312" w:cs="仿宋_GB2312"/>
          <w:bCs w:val="0"/>
          <w:szCs w:val="32"/>
        </w:rPr>
        <w:t>福建省政和县兴业竹木制品有限公司</w:t>
      </w:r>
    </w:p>
    <w:p>
      <w:pPr>
        <w:spacing w:line="500" w:lineRule="exact"/>
        <w:ind w:left="595" w:leftChars="186" w:firstLine="0" w:firstLineChars="0"/>
        <w:textAlignment w:val="auto"/>
        <w:outlineLvl w:val="9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龙岩市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福建海华医药连锁有限公司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福建龙净环保股份有限公司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龙洲集团股份有限公司龙岩汽车客运中心站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龙岩龙兴公路港物流有限公司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龙岩市精博亚通贸易有限公司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福建龙麟集团有限公司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龙岩市永定区天子温泉开发有限公司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华润水泥（永定）有限公司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福建德尔科技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股份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新洲（武平）林化有限公司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福建爱的电器有限公司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福建漳平市德诺林业有限公司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福建省汇创新高电子科技有限公司</w:t>
      </w:r>
    </w:p>
    <w:p>
      <w:pPr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宁德市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宁德聚能动力电源系统技术有限公司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福建省闽东力捷迅药业股份有限公司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福建省霞浦县众源机械有限公司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福建盟信集团有限公司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福建鼎信科技有限公司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福建古田药业有限公司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福建晶洁物业服务有限公司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国网福建省电力有限公司寿宁县供电公司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屏南县佳禾工艺品有限公司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宁德融易算君道财税服务有限公司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宁德厦钨新能源材料有限公司</w:t>
      </w:r>
    </w:p>
    <w:p>
      <w:pPr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平潭综合实验区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平潭综合实验区人才发展集团有限公司</w:t>
      </w:r>
    </w:p>
    <w:p>
      <w:pPr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省三方推荐企业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国网福建省电力有限公司福州供电公司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福建省龙岩金叶复烤有限责任公司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中国联合网络通信有限公司福建省分公司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中建海峡建设发展有限公司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福建路港（集团）有限公司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CESI黑体-GB2312" w:hAnsi="CESI黑体-GB2312" w:eastAsia="CESI黑体-GB2312" w:cs="CESI黑体-GB2312"/>
          <w:lang w:val="en-US" w:eastAsia="zh-CN"/>
        </w:rPr>
      </w:pPr>
      <w:r>
        <w:rPr>
          <w:rFonts w:hint="eastAsia" w:ascii="仿宋_GB2312" w:hAnsi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福建省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恒申合纤科技有限公司</w:t>
      </w:r>
    </w:p>
    <w:p>
      <w:pPr>
        <w:spacing w:line="596" w:lineRule="exact"/>
        <w:ind w:firstLine="640" w:firstLineChars="200"/>
        <w:textAlignment w:val="top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564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0ES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K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/X0ES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2020年4月3日翻印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462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CDsLNI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2020年4月3日翻印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360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Cnybh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71552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gbOI1QAAAAoBAAAPAAAA&#10;AAAAAAEAIAAAACIAAABkcnMvZG93bnJldi54bWxQSwECFAAUAAAACACHTuJAR5tDKt8BAACiAwAA&#10;DgAAAAAAAAABACAAAAAkAQAAZHJzL2Uyb0RvYy54bWxQSwUGAAAAAAYABgBZAQAAdQUAAAAA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201295</wp:posOffset>
                </wp:positionH>
                <wp:positionV relativeFrom="page">
                  <wp:posOffset>9178925</wp:posOffset>
                </wp:positionV>
                <wp:extent cx="3000375" cy="360045"/>
                <wp:effectExtent l="0" t="0" r="0" b="0"/>
                <wp:wrapTopAndBottom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85pt;margin-top:722.75pt;height:28.35pt;width:236.25pt;mso-position-vertical-relative:page;mso-wrap-distance-bottom:0pt;mso-wrap-distance-top:0pt;z-index:251670528;mso-width-relative:page;mso-height-relative:page;" filled="f" stroked="f" coordsize="21600,21600" o:gfxdata="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tbLstoAAAAM&#10;AQAADwAAAAAAAAABACAAAAAiAAAAZHJzL2Rvd25yZXYueG1sUEsBAhQAFAAAAAgAh07iQHU0fY6o&#10;AQAALQMAAA4AAAAAAAAAAQAgAAAAKQ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 w:hAnsi="Times New Roman" w:cs="Times New Roman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Times New Roman" w:cs="Times New Roman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 w:hAnsi="Times New Roman" w:cs="Times New Roman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 w:hAnsi="Times New Roman" w:cs="Times New Roman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 w:hAnsi="Times New Roman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72576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3KN1wAAAAwB&#10;AAAPAAAAAAAAAAEAIAAAACIAAABkcnMvZG93bnJldi54bWxQSwECFAAUAAAACACHTuJA7NTJuqoB&#10;AAA4AwAADgAAAAAAAAABACAAAAAm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 w:hAnsi="Times New Roman" w:cs="Times New Roman"/>
                          <w:szCs w:val="32"/>
                        </w:rPr>
                      </w:pPr>
                      <w:r>
                        <w:rPr>
                          <w:rFonts w:hint="eastAsia" w:ascii="仿宋_GB2312" w:hAnsi="Times New Roman" w:cs="Times New Roman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 w:hAnsi="Times New Roman" w:cs="Times New Roman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 w:hAnsi="Times New Roman" w:cs="Times New Roman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 w:hAnsi="Times New Roman" w:cs="Times New Roman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  <w:bookmarkStart w:id="0" w:name="_GoBack"/>
      <w:bookmarkEnd w:id="0"/>
    </w:p>
    <w:p>
      <w:pPr>
        <w:autoSpaceDE/>
        <w:autoSpaceDN/>
        <w:adjustRightInd/>
        <w:spacing w:line="240" w:lineRule="auto"/>
        <w:jc w:val="left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宋体" w:eastAsia="黑体" w:cs="Times New Roman"/>
        </w:rPr>
      </w:pPr>
      <w:r>
        <w:rPr>
          <w:rFonts w:hint="eastAsia" w:ascii="黑体" w:hAnsi="宋体" w:eastAsia="黑体" w:cs="Times New Roman"/>
        </w:rPr>
        <w:t>附件</w:t>
      </w:r>
      <w:r>
        <w:rPr>
          <w:rFonts w:hint="eastAsia" w:ascii="黑体" w:hAnsi="宋体" w:eastAsia="黑体" w:cs="Times New Roman"/>
          <w:lang w:val="en-US" w:eastAsia="zh-CN"/>
        </w:rPr>
        <w:t>2</w:t>
      </w:r>
    </w:p>
    <w:p>
      <w:pPr>
        <w:autoSpaceDE w:val="0"/>
        <w:autoSpaceDN w:val="0"/>
        <w:adjustRightInd w:val="0"/>
        <w:spacing w:line="520" w:lineRule="exact"/>
        <w:rPr>
          <w:rFonts w:hint="eastAsia" w:ascii="仿宋_GB2312" w:hAnsi="宋体" w:cs="Times New Roman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20-2021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年省级劳动关系和谐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工业园区名单（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11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家）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仿宋_GB2312" w:hAnsi="Times New Roman" w:cs="宋体"/>
          <w:color w:val="000000"/>
          <w:kern w:val="0"/>
        </w:rPr>
      </w:pPr>
      <w:r>
        <w:rPr>
          <w:rFonts w:hint="eastAsia" w:ascii="仿宋_GB2312" w:hAnsi="Times New Roman" w:cs="宋体"/>
          <w:color w:val="000000"/>
          <w:kern w:val="0"/>
        </w:rPr>
        <w:t>（</w:t>
      </w:r>
      <w:r>
        <w:rPr>
          <w:rFonts w:hint="eastAsia" w:ascii="仿宋_GB2312" w:hAnsi="Times New Roman" w:cs="宋体"/>
          <w:color w:val="000000"/>
          <w:kern w:val="0"/>
          <w:lang w:eastAsia="zh-CN"/>
        </w:rPr>
        <w:t>排名</w:t>
      </w:r>
      <w:r>
        <w:rPr>
          <w:rFonts w:hint="eastAsia" w:ascii="仿宋_GB2312" w:hAnsi="宋体" w:cs="Times New Roman"/>
        </w:rPr>
        <w:t>不分先后</w:t>
      </w:r>
      <w:r>
        <w:rPr>
          <w:rFonts w:hint="eastAsia" w:ascii="仿宋_GB2312" w:hAnsi="Times New Roman" w:cs="宋体"/>
          <w:color w:val="000000"/>
          <w:kern w:val="0"/>
        </w:rPr>
        <w:t>）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福州</w:t>
      </w:r>
      <w:r>
        <w:rPr>
          <w:rFonts w:hint="eastAsia" w:ascii="黑体" w:hAnsi="黑体" w:eastAsia="黑体" w:cs="黑体"/>
          <w:b w:val="0"/>
          <w:bCs w:val="0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Times New Roman" w:cs="Times New Roman"/>
          <w:lang w:val="en-US" w:eastAsia="zh-CN"/>
        </w:rPr>
        <w:t>福州高新技术产业开发区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Times New Roman" w:cs="Times New Roman"/>
          <w:lang w:val="en-US" w:eastAsia="zh-CN"/>
        </w:rPr>
        <w:t>连江县可门经济开发区</w:t>
      </w:r>
    </w:p>
    <w:p>
      <w:pPr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仿宋_GB2312" w:hAnsi="Times New Roman" w:cs="Times New Roman"/>
          <w:lang w:val="en-US" w:eastAsia="zh-CN"/>
        </w:rPr>
        <w:t>福州台商投资区</w:t>
      </w:r>
    </w:p>
    <w:p>
      <w:pPr>
        <w:spacing w:line="480" w:lineRule="exact"/>
        <w:ind w:firstLine="640" w:firstLineChars="200"/>
        <w:textAlignment w:val="auto"/>
        <w:outlineLvl w:val="9"/>
        <w:rPr>
          <w:rFonts w:hint="eastAsia" w:ascii="CESI黑体-GB2312" w:hAnsi="CESI黑体-GB2312" w:eastAsia="CESI黑体-GB2312" w:cs="CESI黑体-GB2312"/>
          <w:b w:val="0"/>
          <w:bCs w:val="0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</w:rPr>
        <w:t>厦门市</w:t>
      </w:r>
    </w:p>
    <w:p>
      <w:pPr>
        <w:spacing w:line="480" w:lineRule="exact"/>
        <w:ind w:firstLine="640" w:firstLineChars="200"/>
        <w:textAlignment w:val="top"/>
        <w:outlineLvl w:val="9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中国（福建）自由贸易试验区厦门片区管理委员会海沧园区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泉州市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Times New Roman" w:cs="Times New Roman"/>
          <w:lang w:val="en-US" w:eastAsia="zh-CN"/>
        </w:rPr>
        <w:t>石狮高新技术产业开发区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Times New Roman" w:cs="Times New Roman"/>
          <w:lang w:val="en-US" w:eastAsia="zh-CN"/>
        </w:rPr>
        <w:t>福建南安经济开发区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三明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Times New Roman" w:cs="Times New Roman"/>
          <w:lang w:val="en-US" w:eastAsia="zh-CN"/>
        </w:rPr>
        <w:t>永安市石墨和石墨烯产业园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 w:firstLine="640" w:firstLineChars="200"/>
        <w:jc w:val="both"/>
        <w:textAlignment w:val="top"/>
        <w:outlineLvl w:val="9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莆田市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莆田市秀屿区临港工业园区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南平市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Times New Roman" w:cs="Times New Roman"/>
          <w:lang w:val="en-US" w:eastAsia="zh-CN"/>
        </w:rPr>
        <w:t>武夷山生态创业园区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龙岩市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Times New Roman" w:cs="Times New Roman"/>
          <w:lang w:val="en-US" w:eastAsia="zh-CN"/>
        </w:rPr>
        <w:t>福建省武平工业园区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宁德市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cs="Times New Roman"/>
          <w:lang w:val="en-US" w:eastAsia="zh-CN"/>
        </w:rPr>
      </w:pPr>
      <w:r>
        <w:rPr>
          <w:rFonts w:hint="eastAsia" w:ascii="仿宋_GB2312" w:hAnsi="Times New Roman" w:cs="Times New Roman"/>
          <w:lang w:val="en-US" w:eastAsia="zh-CN"/>
        </w:rPr>
        <w:t>寿宁县南阳工业园区</w:t>
      </w:r>
    </w:p>
    <w:p>
      <w:pPr>
        <w:autoSpaceDE/>
        <w:autoSpaceDN/>
        <w:adjustRightInd/>
        <w:spacing w:line="240" w:lineRule="auto"/>
        <w:ind w:firstLine="0" w:firstLineChars="0"/>
        <w:rPr>
          <w:rFonts w:hint="eastAsia" w:ascii="黑体" w:hAnsi="宋体" w:eastAsia="黑体" w:cs="Times New Roman"/>
          <w:lang w:val="en-US" w:eastAsia="zh-CN"/>
        </w:rPr>
      </w:pPr>
      <w:r>
        <w:rPr>
          <w:rFonts w:hint="eastAsia" w:ascii="黑体" w:hAnsi="宋体" w:eastAsia="黑体" w:cs="Times New Roman"/>
          <w:lang w:eastAsia="zh-CN"/>
        </w:rPr>
        <w:br w:type="page"/>
      </w:r>
      <w:r>
        <w:rPr>
          <w:rFonts w:hint="eastAsia" w:ascii="黑体" w:hAnsi="宋体" w:eastAsia="黑体" w:cs="Times New Roman"/>
          <w:lang w:eastAsia="zh-CN"/>
        </w:rPr>
        <w:t>附件</w:t>
      </w:r>
      <w:r>
        <w:rPr>
          <w:rFonts w:hint="eastAsia" w:ascii="黑体" w:hAnsi="宋体" w:eastAsia="黑体" w:cs="Times New Roman"/>
          <w:lang w:val="en-US" w:eastAsia="zh-CN"/>
        </w:rPr>
        <w:t>3</w:t>
      </w:r>
    </w:p>
    <w:p>
      <w:pPr>
        <w:autoSpaceDE w:val="0"/>
        <w:autoSpaceDN w:val="0"/>
        <w:adjustRightInd w:val="0"/>
        <w:spacing w:line="520" w:lineRule="exact"/>
        <w:rPr>
          <w:rFonts w:hint="eastAsia" w:ascii="仿宋_GB2312" w:hAnsi="宋体" w:cs="Times New Roman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20-2021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年省级劳动关系和谐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乡镇（街道）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名单（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家）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仿宋_GB2312" w:hAnsi="Times New Roman" w:cs="宋体"/>
          <w:color w:val="000000"/>
          <w:kern w:val="0"/>
        </w:rPr>
      </w:pPr>
      <w:r>
        <w:rPr>
          <w:rFonts w:hint="eastAsia" w:ascii="仿宋_GB2312" w:hAnsi="Times New Roman" w:cs="宋体"/>
          <w:color w:val="000000"/>
          <w:kern w:val="0"/>
        </w:rPr>
        <w:t>（</w:t>
      </w:r>
      <w:r>
        <w:rPr>
          <w:rFonts w:hint="eastAsia" w:ascii="仿宋_GB2312" w:hAnsi="Times New Roman" w:cs="宋体"/>
          <w:color w:val="000000"/>
          <w:kern w:val="0"/>
          <w:lang w:eastAsia="zh-CN"/>
        </w:rPr>
        <w:t>排名</w:t>
      </w:r>
      <w:r>
        <w:rPr>
          <w:rFonts w:hint="eastAsia" w:ascii="仿宋_GB2312" w:hAnsi="宋体" w:cs="Times New Roman"/>
        </w:rPr>
        <w:t>不分先后</w:t>
      </w:r>
      <w:r>
        <w:rPr>
          <w:rFonts w:hint="eastAsia" w:ascii="仿宋_GB2312" w:hAnsi="Times New Roman" w:cs="宋体"/>
          <w:color w:val="000000"/>
          <w:kern w:val="0"/>
        </w:rPr>
        <w:t>）</w:t>
      </w:r>
    </w:p>
    <w:p>
      <w:pPr>
        <w:autoSpaceDE w:val="0"/>
        <w:autoSpaceDN w:val="0"/>
        <w:adjustRightInd w:val="0"/>
        <w:spacing w:line="520" w:lineRule="exact"/>
        <w:jc w:val="both"/>
        <w:rPr>
          <w:rFonts w:hint="eastAsia" w:ascii="仿宋_GB2312" w:hAnsi="Times New Roman" w:cs="宋体"/>
          <w:color w:val="000000"/>
          <w:kern w:val="0"/>
        </w:rPr>
      </w:pP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福州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福州市鼓楼区鼓东街道办事处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福州市台江区人民政府鳌峰街道办事处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福州市台江区人民政府宁化街道办事处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闽清县白中镇人民政府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厦门市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厦门市思明区人民政府中华街道办事处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厦门市湖里区湖里街道办事处</w:t>
      </w:r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厦门市同安区人民政府大同街道办事处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漳州市</w:t>
      </w:r>
    </w:p>
    <w:p>
      <w:pPr>
        <w:spacing w:after="0"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南靖县山城镇人民政府</w:t>
      </w:r>
    </w:p>
    <w:p>
      <w:pPr>
        <w:spacing w:after="0"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长泰经济开发区银塘办事处</w:t>
      </w:r>
    </w:p>
    <w:p>
      <w:pPr>
        <w:spacing w:after="0"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漳浦县盘陀镇人民政府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泉州市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top"/>
        <w:rPr>
          <w:rFonts w:hint="eastAsia" w:ascii="仿宋_GB2312" w:hAnsi="Times New Roman" w:cs="Times New Roman"/>
          <w:sz w:val="31"/>
          <w:szCs w:val="31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丰泽区城东街道办事处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top"/>
        <w:rPr>
          <w:rFonts w:hint="eastAsia" w:ascii="仿宋_GB2312" w:hAnsi="Times New Roman" w:cs="Times New Roman"/>
          <w:sz w:val="31"/>
          <w:szCs w:val="31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泉港区界山镇人民政府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top"/>
        <w:rPr>
          <w:rFonts w:hint="eastAsia" w:ascii="仿宋_GB2312" w:hAnsi="Times New Roman" w:cs="Times New Roman"/>
          <w:sz w:val="31"/>
          <w:szCs w:val="31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晋江市安海镇人民政府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top"/>
        <w:rPr>
          <w:rFonts w:hint="eastAsia" w:ascii="仿宋_GB2312" w:hAnsi="Times New Roman" w:cs="Times New Roman"/>
          <w:sz w:val="31"/>
          <w:szCs w:val="31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石狮市蚶江镇人民政府</w:t>
      </w:r>
    </w:p>
    <w:p>
      <w:pPr>
        <w:spacing w:line="540" w:lineRule="exact"/>
        <w:ind w:firstLine="620" w:firstLineChars="200"/>
        <w:textAlignment w:val="top"/>
        <w:rPr>
          <w:rFonts w:ascii="Times New Roman" w:hAnsi="Times New Roman" w:cs="Times New Roma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德化县三班镇人民政府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  <w:lang w:eastAsia="zh-CN"/>
        </w:rPr>
        <w:t>三明市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top"/>
        <w:rPr>
          <w:rFonts w:hint="eastAsia" w:ascii="仿宋_GB2312" w:hAnsi="Times New Roman" w:cs="Times New Roman"/>
          <w:sz w:val="31"/>
          <w:szCs w:val="31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泰宁县大龙乡人民政府</w:t>
      </w:r>
    </w:p>
    <w:p>
      <w:pPr>
        <w:spacing w:line="540" w:lineRule="exact"/>
        <w:ind w:firstLine="620" w:firstLineChars="200"/>
        <w:textAlignment w:val="top"/>
        <w:rPr>
          <w:rFonts w:hint="eastAsia" w:ascii="仿宋_GB2312" w:hAnsi="Times New Roman" w:cs="Times New Roman"/>
          <w:sz w:val="31"/>
          <w:szCs w:val="31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清流县嵩溪镇人民政府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莆田市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莆田市秀屿区南日镇人民政府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南平市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top"/>
        <w:rPr>
          <w:rFonts w:hint="eastAsia" w:ascii="仿宋_GB2312" w:hAnsi="Times New Roman" w:cs="Times New Roman"/>
          <w:sz w:val="31"/>
          <w:szCs w:val="31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松溪县旧县乡人民政府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龙岩市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武平县中山镇人民政府</w:t>
      </w:r>
    </w:p>
    <w:p>
      <w:pPr>
        <w:spacing w:line="596" w:lineRule="exact"/>
        <w:ind w:firstLine="640" w:firstLineChars="200"/>
        <w:textAlignment w:val="top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宁德市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200"/>
        <w:jc w:val="both"/>
        <w:textAlignment w:val="top"/>
        <w:rPr>
          <w:rFonts w:hint="eastAsia" w:ascii="仿宋_GB2312" w:hAnsi="Times New Roman" w:cs="Times New Roman"/>
          <w:sz w:val="31"/>
          <w:szCs w:val="31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霞浦县三沙镇人民政府</w:t>
      </w:r>
    </w:p>
    <w:p>
      <w:pPr>
        <w:spacing w:line="540" w:lineRule="exact"/>
        <w:ind w:firstLine="620" w:firstLineChars="200"/>
        <w:textAlignment w:val="top"/>
        <w:rPr>
          <w:rFonts w:hint="eastAsia" w:ascii="CESI黑体-GB2312" w:hAnsi="CESI黑体-GB2312" w:eastAsia="CESI黑体-GB2312" w:cs="CESI黑体-GB2312"/>
          <w:lang w:val="en-US" w:eastAsia="zh-CN"/>
        </w:rPr>
      </w:pPr>
      <w:r>
        <w:rPr>
          <w:rFonts w:hint="eastAsia" w:ascii="仿宋_GB2312" w:hAnsi="Times New Roman" w:cs="Times New Roman"/>
          <w:sz w:val="31"/>
          <w:szCs w:val="31"/>
          <w:lang w:val="en-US" w:eastAsia="zh-CN"/>
        </w:rPr>
        <w:t>柘荣县东源乡人民政府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D5C3E"/>
    <w:rsid w:val="65A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2022-09-29T09:11:00Z</dcterms:created>
  <dc:creator>hjy</dc:creator>
  <cp:lastModifiedBy>hjy</cp:lastModifiedBy>
  <dcterms:modified xsi:type="dcterms:W3CDTF">2022-09-29T09:12:40Z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