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_GBK" w:hAnsi="方正小标宋_GBK" w:eastAsia="方正小标宋_GBK" w:cs="方正小标宋_GBK"/>
          <w:b w:val="0"/>
          <w:bCs w:val="0"/>
          <w:i w:val="0"/>
          <w:iCs w:val="0"/>
          <w:caps w:val="0"/>
          <w:color w:val="auto"/>
          <w:spacing w:val="0"/>
          <w:sz w:val="44"/>
          <w:szCs w:val="44"/>
          <w:shd w:val="clear" w:color="auto" w:fill="FFFFFF"/>
          <w:vertAlign w:val="baseline"/>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vertAlign w:val="baseline"/>
        </w:rPr>
        <w:t>人力资源社会保障部办公厅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_GBK" w:hAnsi="方正小标宋_GBK" w:eastAsia="方正小标宋_GBK" w:cs="方正小标宋_GBK"/>
          <w:b w:val="0"/>
          <w:bCs w:val="0"/>
          <w:i w:val="0"/>
          <w:iCs w:val="0"/>
          <w:caps w:val="0"/>
          <w:color w:val="auto"/>
          <w:spacing w:val="0"/>
          <w:sz w:val="44"/>
          <w:szCs w:val="44"/>
          <w:shd w:val="clear" w:color="auto" w:fill="FFFFFF"/>
          <w:vertAlign w:val="baseline"/>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vertAlign w:val="baseline"/>
        </w:rPr>
        <w:t>关于印发职业技能线上培训平台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vertAlign w:val="baseline"/>
        </w:rPr>
        <w:t>运营服务规范和数字资源质量规范的通知</w:t>
      </w:r>
    </w:p>
    <w:p>
      <w:pPr>
        <w:keepNext w:val="0"/>
        <w:keepLines w:val="0"/>
        <w:pageBreakBefore w:val="0"/>
        <w:widowControl w:val="0"/>
        <w:kinsoku/>
        <w:wordWrap/>
        <w:overflowPunct/>
        <w:topLinePunct w:val="0"/>
        <w:autoSpaceDE/>
        <w:autoSpaceDN/>
        <w:bidi w:val="0"/>
        <w:adjustRightInd/>
        <w:spacing w:line="560" w:lineRule="exact"/>
        <w:jc w:val="center"/>
        <w:textAlignment w:val="top"/>
        <w:outlineLvl w:val="0"/>
        <w:rPr>
          <w:rFonts w:hint="eastAsia" w:ascii="楷体_GB2312" w:hAnsi="楷体_GB2312" w:eastAsia="楷体_GB2312" w:cs="楷体_GB2312"/>
          <w:b w:val="0"/>
          <w:bCs w:val="0"/>
          <w:i w:val="0"/>
          <w:iCs w:val="0"/>
          <w:caps w:val="0"/>
          <w:color w:val="auto"/>
          <w:spacing w:val="0"/>
          <w:sz w:val="32"/>
          <w:szCs w:val="32"/>
          <w:shd w:val="clear" w:color="auto" w:fill="FFFFFF"/>
          <w:vertAlign w:val="baseline"/>
        </w:rPr>
      </w:pPr>
      <w:r>
        <w:rPr>
          <w:rFonts w:hint="eastAsia" w:ascii="楷体_GB2312" w:hAnsi="楷体_GB2312" w:eastAsia="楷体_GB2312" w:cs="楷体_GB2312"/>
          <w:b w:val="0"/>
          <w:bCs w:val="0"/>
          <w:i w:val="0"/>
          <w:iCs w:val="0"/>
          <w:caps w:val="0"/>
          <w:color w:val="auto"/>
          <w:spacing w:val="0"/>
          <w:sz w:val="32"/>
          <w:szCs w:val="32"/>
          <w:shd w:val="clear" w:color="auto" w:fill="FFFFFF"/>
          <w:vertAlign w:val="baseline"/>
        </w:rPr>
        <w:t>人社厅函〔2024〕73号</w:t>
      </w:r>
    </w:p>
    <w:p>
      <w:pPr>
        <w:keepNext w:val="0"/>
        <w:keepLines w:val="0"/>
        <w:pageBreakBefore w:val="0"/>
        <w:widowControl w:val="0"/>
        <w:kinsoku/>
        <w:wordWrap/>
        <w:overflowPunct/>
        <w:topLinePunct w:val="0"/>
        <w:autoSpaceDE/>
        <w:autoSpaceDN/>
        <w:bidi w:val="0"/>
        <w:adjustRightInd/>
        <w:spacing w:line="560" w:lineRule="exact"/>
        <w:jc w:val="center"/>
        <w:textAlignment w:val="top"/>
        <w:outlineLvl w:val="0"/>
        <w:rPr>
          <w:rFonts w:hint="eastAsia" w:ascii="楷体_GB2312" w:hAnsi="楷体_GB2312" w:eastAsia="楷体_GB2312" w:cs="楷体_GB2312"/>
          <w:b w:val="0"/>
          <w:bCs w:val="0"/>
          <w:i w:val="0"/>
          <w:iCs w:val="0"/>
          <w:caps w:val="0"/>
          <w:color w:val="auto"/>
          <w:spacing w:val="0"/>
          <w:sz w:val="32"/>
          <w:szCs w:val="32"/>
          <w:shd w:val="clear" w:color="auto" w:fill="FFFFFF"/>
          <w:vertAlign w:val="baseline"/>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0" w:firstLineChars="0"/>
        <w:textAlignment w:val="top"/>
        <w:outlineLvl w:val="0"/>
        <w:rPr>
          <w:rFonts w:hint="eastAsia" w:ascii="仿宋_GB2312" w:hAnsi="Times New Roman" w:cs="Times New Roman"/>
          <w:spacing w:val="-6"/>
        </w:rPr>
      </w:pPr>
      <w:r>
        <w:rPr>
          <w:rFonts w:hint="eastAsia" w:ascii="仿宋_GB2312" w:hAnsi="Times New Roman" w:cs="Times New Roman"/>
          <w:spacing w:val="-6"/>
        </w:rPr>
        <w:t>各省、自治区、直辖市及新疆生产建设兵团人力资源社会保障厅（局）：</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top"/>
        <w:outlineLvl w:val="0"/>
        <w:rPr>
          <w:rFonts w:hint="eastAsia" w:ascii="仿宋_GB2312" w:hAnsi="Times New Roman" w:cs="Times New Roman"/>
          <w:spacing w:val="-6"/>
        </w:rPr>
      </w:pPr>
      <w:r>
        <w:rPr>
          <w:rFonts w:hint="eastAsia" w:ascii="仿宋_GB2312" w:hAnsi="Times New Roman" w:cs="Times New Roman"/>
          <w:spacing w:val="-6"/>
        </w:rPr>
        <w:t>为推进“互联网+职业技能培训”规范化管理，促进职业技能培训和评价专项整治成果转化，我部对2020年9月印发的《职业技能提升行动“互联网+职业技能培训”平台及资源运营服务规范（试行）》进行修订，形成《职业技能线上培训平台运营服务规范》和《职业技能线上培训数字资源质量规范》。现印发给你们，各地可在线上培训平台及数字资源征集遴选等工作中结合实际参考使用。使用中如遇问题或有相关意见建议，请与中国就业培训技术指导中心联系。</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top"/>
        <w:outlineLvl w:val="0"/>
        <w:rPr>
          <w:rFonts w:hint="eastAsia" w:ascii="仿宋_GB2312" w:hAnsi="Times New Roman" w:cs="Times New Roman"/>
          <w:spacing w:val="-6"/>
        </w:rPr>
      </w:pPr>
      <w:r>
        <w:rPr>
          <w:rFonts w:hint="eastAsia" w:ascii="仿宋_GB2312" w:hAnsi="Times New Roman" w:cs="Times New Roman"/>
          <w:spacing w:val="-6"/>
        </w:rPr>
        <w:t>联 系 人：钱春兰、李爽</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top"/>
        <w:outlineLvl w:val="0"/>
        <w:rPr>
          <w:rFonts w:hint="eastAsia" w:ascii="仿宋_GB2312" w:hAnsi="Times New Roman" w:cs="Times New Roman"/>
          <w:spacing w:val="-6"/>
        </w:rPr>
      </w:pPr>
      <w:r>
        <w:rPr>
          <w:rFonts w:hint="eastAsia" w:ascii="仿宋_GB2312" w:hAnsi="Times New Roman" w:cs="Times New Roman"/>
          <w:spacing w:val="-6"/>
        </w:rPr>
        <w:t>联系电话：（010）84661063、84661066</w:t>
      </w: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top"/>
        <w:outlineLvl w:val="0"/>
        <w:rPr>
          <w:rFonts w:hint="eastAsia" w:ascii="仿宋_GB2312" w:hAnsi="Times New Roman" w:cs="Times New Roman"/>
          <w:spacing w:val="-6"/>
        </w:rPr>
      </w:pPr>
    </w:p>
    <w:p>
      <w:pPr>
        <w:keepNext w:val="0"/>
        <w:keepLines w:val="0"/>
        <w:pageBreakBefore w:val="0"/>
        <w:widowControl w:val="0"/>
        <w:kinsoku/>
        <w:wordWrap/>
        <w:overflowPunct/>
        <w:topLinePunct w:val="0"/>
        <w:autoSpaceDE/>
        <w:autoSpaceDN/>
        <w:bidi w:val="0"/>
        <w:adjustRightInd/>
        <w:spacing w:line="560" w:lineRule="exact"/>
        <w:ind w:firstLine="616" w:firstLineChars="200"/>
        <w:textAlignment w:val="top"/>
        <w:outlineLvl w:val="0"/>
        <w:rPr>
          <w:rFonts w:hint="eastAsia" w:ascii="仿宋_GB2312" w:hAnsi="Times New Roman" w:cs="Times New Roman"/>
          <w:spacing w:val="-6"/>
        </w:rPr>
      </w:pPr>
    </w:p>
    <w:p>
      <w:pPr>
        <w:keepNext w:val="0"/>
        <w:keepLines w:val="0"/>
        <w:pageBreakBefore w:val="0"/>
        <w:widowControl w:val="0"/>
        <w:kinsoku/>
        <w:wordWrap/>
        <w:overflowPunct/>
        <w:topLinePunct w:val="0"/>
        <w:autoSpaceDE/>
        <w:autoSpaceDN/>
        <w:bidi w:val="0"/>
        <w:adjustRightInd/>
        <w:spacing w:line="560" w:lineRule="exact"/>
        <w:ind w:firstLine="616" w:firstLineChars="200"/>
        <w:jc w:val="right"/>
        <w:textAlignment w:val="top"/>
        <w:outlineLvl w:val="0"/>
        <w:rPr>
          <w:rFonts w:hint="eastAsia" w:ascii="仿宋_GB2312" w:hAnsi="Times New Roman" w:cs="Times New Roman"/>
          <w:spacing w:val="-6"/>
        </w:rPr>
      </w:pPr>
      <w:r>
        <w:rPr>
          <w:rFonts w:hint="eastAsia" w:ascii="仿宋_GB2312" w:hAnsi="Times New Roman" w:cs="Times New Roman"/>
          <w:spacing w:val="-6"/>
        </w:rPr>
        <w:t>人力资源社会保障部办公厅</w:t>
      </w:r>
    </w:p>
    <w:p>
      <w:pPr>
        <w:keepNext w:val="0"/>
        <w:keepLines w:val="0"/>
        <w:pageBreakBefore w:val="0"/>
        <w:widowControl w:val="0"/>
        <w:kinsoku/>
        <w:wordWrap w:val="0"/>
        <w:overflowPunct/>
        <w:topLinePunct w:val="0"/>
        <w:autoSpaceDE/>
        <w:autoSpaceDN/>
        <w:bidi w:val="0"/>
        <w:adjustRightInd/>
        <w:spacing w:line="560" w:lineRule="exact"/>
        <w:ind w:firstLine="616" w:firstLineChars="200"/>
        <w:jc w:val="right"/>
        <w:textAlignment w:val="top"/>
        <w:outlineLvl w:val="0"/>
        <w:rPr>
          <w:rFonts w:hint="default" w:ascii="仿宋_GB2312" w:hAnsi="Times New Roman" w:eastAsia="仿宋_GB2312" w:cs="Times New Roman"/>
          <w:spacing w:val="-6"/>
          <w:lang w:val="en-US" w:eastAsia="zh-CN"/>
        </w:rPr>
      </w:pPr>
      <w:r>
        <w:rPr>
          <w:rFonts w:hint="eastAsia" w:ascii="仿宋_GB2312" w:hAnsi="Times New Roman" w:cs="Times New Roman"/>
          <w:spacing w:val="-6"/>
        </w:rPr>
        <w:t>2024年5月19日</w:t>
      </w:r>
      <w:r>
        <w:rPr>
          <w:rFonts w:hint="eastAsia" w:ascii="仿宋_GB2312" w:hAnsi="Times New Roman" w:cs="Times New Roman"/>
          <w:spacing w:val="-6"/>
          <w:lang w:val="en-US" w:eastAsia="zh-CN"/>
        </w:rPr>
        <w:t xml:space="preserve">    </w:t>
      </w: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autoSpaceDE w:val="0"/>
        <w:autoSpaceDN w:val="0"/>
        <w:ind w:firstLine="0" w:firstLineChars="0"/>
        <w:jc w:val="both"/>
        <w:rPr>
          <w:rFonts w:hint="default" w:ascii="Times New Roman" w:hAnsi="Times New Roman" w:eastAsia="黑体" w:cs="Times New Roman"/>
          <w:color w:val="000000"/>
          <w:sz w:val="32"/>
          <w:szCs w:val="32"/>
          <w:lang w:val="en-US" w:eastAsia="zh-CN" w:bidi="ar-SA"/>
        </w:rPr>
      </w:pPr>
    </w:p>
    <w:p>
      <w:pPr>
        <w:autoSpaceDE w:val="0"/>
        <w:autoSpaceDN w:val="0"/>
        <w:ind w:firstLine="0" w:firstLineChars="0"/>
        <w:jc w:val="center"/>
        <w:rPr>
          <w:rFonts w:ascii="华文中宋" w:hAnsi="华文中宋" w:eastAsia="华文中宋" w:cs="华文中宋"/>
          <w:color w:val="000000"/>
          <w:sz w:val="44"/>
          <w:szCs w:val="44"/>
          <w:lang w:val="en-US" w:eastAsia="zh-CN" w:bidi="ar-SA"/>
        </w:rPr>
      </w:pPr>
    </w:p>
    <w:p>
      <w:pPr>
        <w:autoSpaceDE w:val="0"/>
        <w:autoSpaceDN w:val="0"/>
        <w:ind w:firstLine="0" w:firstLineChars="0"/>
        <w:jc w:val="center"/>
        <w:rPr>
          <w:rFonts w:ascii="华文中宋" w:hAnsi="华文中宋" w:eastAsia="华文中宋" w:cs="华文中宋"/>
          <w:color w:val="000000"/>
          <w:sz w:val="44"/>
          <w:szCs w:val="44"/>
          <w:lang w:val="en-US" w:eastAsia="zh-CN" w:bidi="ar-SA"/>
        </w:rPr>
      </w:pPr>
    </w:p>
    <w:p>
      <w:pPr>
        <w:autoSpaceDE w:val="0"/>
        <w:autoSpaceDN w:val="0"/>
        <w:ind w:firstLine="0" w:firstLineChars="0"/>
        <w:jc w:val="both"/>
        <w:rPr>
          <w:rFonts w:ascii="华文中宋" w:hAnsi="华文中宋" w:eastAsia="华文中宋" w:cs="华文中宋"/>
          <w:color w:val="000000"/>
          <w:sz w:val="44"/>
          <w:szCs w:val="44"/>
          <w:lang w:val="en-US" w:eastAsia="zh-CN" w:bidi="ar-SA"/>
        </w:rPr>
      </w:pPr>
    </w:p>
    <w:p>
      <w:pPr>
        <w:autoSpaceDE w:val="0"/>
        <w:autoSpaceDN w:val="0"/>
        <w:ind w:firstLine="0" w:firstLineChars="0"/>
        <w:jc w:val="center"/>
        <w:rPr>
          <w:rFonts w:ascii="华文中宋" w:hAnsi="华文中宋" w:eastAsia="华文中宋" w:cs="华文中宋"/>
          <w:color w:val="000000"/>
          <w:sz w:val="44"/>
          <w:szCs w:val="44"/>
          <w:lang w:val="en-US" w:eastAsia="zh-CN" w:bidi="ar-SA"/>
        </w:rPr>
      </w:pPr>
      <w:r>
        <w:rPr>
          <w:rFonts w:hint="eastAsia" w:ascii="华文中宋" w:hAnsi="华文中宋" w:eastAsia="华文中宋" w:cs="华文中宋"/>
          <w:color w:val="000000"/>
          <w:sz w:val="44"/>
          <w:szCs w:val="44"/>
          <w:lang w:val="en-US" w:eastAsia="zh-CN" w:bidi="ar-SA"/>
        </w:rPr>
        <w:t>职业技能线上培训平台运营服务规范</w:t>
      </w:r>
    </w:p>
    <w:p>
      <w:pPr>
        <w:autoSpaceDE w:val="0"/>
        <w:autoSpaceDN w:val="0"/>
        <w:ind w:firstLine="418" w:firstLineChars="95"/>
        <w:jc w:val="both"/>
        <w:rPr>
          <w:rFonts w:ascii="华文中宋" w:hAnsi="华文中宋" w:eastAsia="华文中宋" w:cs="华文中宋"/>
          <w:color w:val="000000"/>
          <w:sz w:val="44"/>
          <w:szCs w:val="44"/>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hint="eastAsia" w:ascii="仿宋_GB2312" w:hAnsi="仿宋_GB2312" w:eastAsia="仿宋_GB2312" w:cs="仿宋_GB2312"/>
          <w:color w:val="000000"/>
          <w:sz w:val="21"/>
          <w:lang w:val="en-US" w:eastAsia="zh-CN" w:bidi="ar-SA"/>
        </w:rPr>
      </w:pPr>
    </w:p>
    <w:p>
      <w:pPr>
        <w:ind w:firstLine="0" w:firstLineChars="0"/>
        <w:jc w:val="center"/>
        <w:rPr>
          <w:rFonts w:hint="eastAsia" w:ascii="仿宋_GB2312" w:hAnsi="仿宋_GB2312" w:eastAsia="仿宋_GB2312" w:cs="仿宋_GB2312"/>
          <w:color w:val="000000"/>
          <w:sz w:val="32"/>
          <w:szCs w:val="32"/>
        </w:rPr>
        <w:sectPr>
          <w:footerReference r:id="rId3" w:type="default"/>
          <w:pgSz w:w="11906" w:h="16838"/>
          <w:pgMar w:top="2098" w:right="1417" w:bottom="1587" w:left="1587" w:header="1247" w:footer="1361" w:gutter="0"/>
          <w:pgNumType w:fmt="decimal" w:start="2"/>
          <w:cols w:space="720" w:num="1"/>
          <w:formProt w:val="0"/>
          <w:rtlGutter w:val="0"/>
          <w:docGrid w:type="lines" w:linePitch="438" w:charSpace="0"/>
        </w:sectPr>
      </w:pPr>
      <w:r>
        <w:rPr>
          <w:rFonts w:hint="eastAsia" w:ascii="仿宋_GB2312" w:hAnsi="仿宋_GB2312" w:eastAsia="仿宋_GB2312" w:cs="仿宋_GB2312"/>
          <w:color w:val="000000"/>
          <w:sz w:val="32"/>
          <w:szCs w:val="32"/>
          <w:lang w:val="en-US" w:eastAsia="zh-CN" w:bidi="ar-SA"/>
        </w:rPr>
        <w:t>2024年</w:t>
      </w:r>
    </w:p>
    <w:p>
      <w:pPr>
        <w:pStyle w:val="10"/>
        <w:rPr>
          <w:rFonts w:hAnsi="宋体" w:cs="宋体"/>
          <w:color w:val="000000"/>
          <w:sz w:val="32"/>
          <w:szCs w:val="20"/>
        </w:rPr>
      </w:pPr>
      <w:bookmarkStart w:id="0" w:name="_Toc22730708"/>
      <w:bookmarkStart w:id="1" w:name="_Toc22740610"/>
      <w:bookmarkStart w:id="2" w:name="_Toc518463125"/>
      <w:r>
        <w:rPr>
          <w:rFonts w:hint="eastAsia" w:hAnsi="宋体" w:cs="宋体"/>
          <w:color w:val="000000"/>
          <w:sz w:val="32"/>
          <w:szCs w:val="20"/>
        </w:rPr>
        <w:t>目</w:t>
      </w:r>
      <w:bookmarkStart w:id="3" w:name="BKML"/>
      <w:r>
        <w:rPr>
          <w:rFonts w:hint="eastAsia" w:hAnsi="宋体" w:cs="宋体"/>
          <w:color w:val="000000"/>
          <w:sz w:val="32"/>
          <w:szCs w:val="20"/>
        </w:rPr>
        <w:t>  </w:t>
      </w:r>
      <w:bookmarkEnd w:id="3"/>
      <w:r>
        <w:rPr>
          <w:rFonts w:hint="eastAsia" w:hAnsi="宋体" w:cs="宋体"/>
          <w:color w:val="000000"/>
          <w:sz w:val="32"/>
          <w:szCs w:val="20"/>
        </w:rPr>
        <w:t>录</w:t>
      </w:r>
    </w:p>
    <w:p>
      <w:pPr>
        <w:pStyle w:val="4"/>
        <w:tabs>
          <w:tab w:val="right" w:leader="dot" w:pos="8296"/>
        </w:tabs>
        <w:rPr>
          <w:rFonts w:hint="eastAsia" w:ascii="仿宋_GB2312" w:hAnsi="仿宋_GB2312" w:eastAsia="仿宋_GB2312" w:cs="仿宋_GB2312"/>
          <w:color w:val="000000"/>
          <w:sz w:val="28"/>
          <w:szCs w:val="28"/>
        </w:rPr>
      </w:pPr>
      <w:r>
        <w:rPr>
          <w:rFonts w:hint="eastAsia" w:ascii="仿宋_GB2312" w:hAnsi="仿宋_GB2312" w:cs="仿宋_GB2312"/>
          <w:color w:val="000000"/>
          <w:kern w:val="0"/>
          <w:sz w:val="28"/>
          <w:szCs w:val="28"/>
        </w:rPr>
        <w:fldChar w:fldCharType="begin"/>
      </w:r>
      <w:r>
        <w:rPr>
          <w:rFonts w:hint="eastAsia" w:ascii="仿宋_GB2312" w:hAnsi="仿宋_GB2312" w:cs="仿宋_GB2312"/>
          <w:color w:val="000000"/>
          <w:sz w:val="28"/>
          <w:szCs w:val="28"/>
        </w:rPr>
        <w:instrText xml:space="preserve"> TOC \h \z \t "前言、引言标题,1,参考文献、索引标题,1,章标题,1,参考文献,1,附录标识,1,一级条标题,3" </w:instrText>
      </w:r>
      <w:r>
        <w:rPr>
          <w:rFonts w:hint="eastAsia" w:ascii="仿宋_GB2312" w:hAnsi="仿宋_GB2312" w:cs="仿宋_GB2312"/>
          <w:color w:val="000000"/>
          <w:kern w:val="0"/>
          <w:sz w:val="28"/>
          <w:szCs w:val="28"/>
        </w:rPr>
        <w:fldChar w:fldCharType="separate"/>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"_Toc152595332"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1适用范围</w:t>
      </w:r>
      <w:r>
        <w:rPr>
          <w:rFonts w:hint="eastAsia" w:ascii="仿宋_GB2312" w:hAnsi="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"_Toc152595333"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2规范性引用文件</w:t>
      </w:r>
      <w:r>
        <w:rPr>
          <w:rFonts w:hint="eastAsia" w:ascii="仿宋_GB2312" w:hAnsi="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"_Toc152595334"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3平台关键要素及要求</w:t>
      </w:r>
      <w:r>
        <w:rPr>
          <w:rFonts w:hint="eastAsia" w:ascii="仿宋_GB2312" w:hAnsi="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"_Toc152595335"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3.1基本要求</w:t>
      </w:r>
      <w:r>
        <w:rPr>
          <w:rFonts w:hint="eastAsia" w:ascii="仿宋_GB2312" w:hAnsi="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"_Toc152595336"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3.2培训管理</w:t>
      </w:r>
      <w:r>
        <w:rPr>
          <w:rFonts w:hint="eastAsia" w:ascii="仿宋_GB2312" w:hAnsi="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"_Toc152595337"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3.3学习服务</w:t>
      </w:r>
      <w:r>
        <w:rPr>
          <w:rFonts w:hint="eastAsia" w:ascii="仿宋_GB2312" w:hAnsi="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"_Toc152595338"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3.4运营管理</w:t>
      </w:r>
      <w:r>
        <w:rPr>
          <w:rFonts w:hint="eastAsia" w:ascii="仿宋_GB2312" w:hAnsi="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HYPERLINK \l "_Toc152595339" </w:instrText>
      </w:r>
      <w:r>
        <w:rPr>
          <w:rFonts w:hint="eastAsia" w:ascii="仿宋_GB2312" w:hAnsi="仿宋_GB2312" w:cs="仿宋_GB2312"/>
          <w:sz w:val="28"/>
          <w:szCs w:val="28"/>
        </w:rPr>
        <w:fldChar w:fldCharType="separate"/>
      </w:r>
      <w:r>
        <w:rPr>
          <w:rStyle w:val="7"/>
          <w:rFonts w:hint="eastAsia" w:ascii="仿宋_GB2312" w:hAnsi="仿宋_GB2312" w:cs="仿宋_GB2312"/>
          <w:color w:val="000000"/>
          <w:sz w:val="28"/>
          <w:szCs w:val="28"/>
        </w:rPr>
        <w:t>4平台类别及分类规则</w:t>
      </w:r>
      <w:r>
        <w:rPr>
          <w:rFonts w:hint="eastAsia" w:ascii="仿宋_GB2312" w:hAnsi="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b w:val="0"/>
          <w:bCs w:val="0"/>
          <w:color w:val="000000"/>
          <w:sz w:val="28"/>
          <w:szCs w:val="28"/>
        </w:rPr>
      </w:pPr>
      <w:r>
        <w:rPr>
          <w:rFonts w:hint="eastAsia" w:ascii="仿宋_GB2312" w:hAnsi="仿宋_GB2312" w:eastAsia="仿宋_GB2312" w:cs="仿宋_GB2312"/>
          <w:b w:val="0"/>
          <w:bCs w:val="0"/>
          <w:sz w:val="28"/>
          <w:szCs w:val="28"/>
        </w:rPr>
        <w:fldChar w:fldCharType="begin"/>
      </w:r>
      <w:r>
        <w:rPr>
          <w:rFonts w:hint="eastAsia" w:ascii="仿宋_GB2312" w:hAnsi="仿宋_GB2312" w:eastAsia="仿宋_GB2312" w:cs="仿宋_GB2312"/>
          <w:b w:val="0"/>
          <w:bCs w:val="0"/>
          <w:sz w:val="28"/>
          <w:szCs w:val="28"/>
        </w:rPr>
        <w:instrText xml:space="preserve"> HYPERLINK \l "_Toc152595340" </w:instrText>
      </w:r>
      <w:r>
        <w:rPr>
          <w:rFonts w:hint="eastAsia" w:ascii="仿宋_GB2312" w:hAnsi="仿宋_GB2312" w:eastAsia="仿宋_GB2312" w:cs="仿宋_GB2312"/>
          <w:b w:val="0"/>
          <w:bCs w:val="0"/>
          <w:sz w:val="28"/>
          <w:szCs w:val="28"/>
        </w:rPr>
        <w:fldChar w:fldCharType="separate"/>
      </w:r>
      <w:r>
        <w:rPr>
          <w:rStyle w:val="7"/>
          <w:rFonts w:hint="eastAsia" w:ascii="仿宋_GB2312" w:hAnsi="仿宋_GB2312" w:eastAsia="仿宋_GB2312" w:cs="仿宋_GB2312"/>
          <w:b w:val="0"/>
          <w:bCs w:val="0"/>
          <w:color w:val="000000"/>
          <w:sz w:val="28"/>
          <w:szCs w:val="28"/>
        </w:rPr>
        <w:t>附件</w:t>
      </w:r>
      <w:r>
        <w:rPr>
          <w:rStyle w:val="7"/>
          <w:rFonts w:hint="eastAsia" w:ascii="仿宋_GB2312" w:hAnsi="仿宋_GB2312" w:eastAsia="仿宋_GB2312" w:cs="仿宋_GB2312"/>
          <w:b w:val="0"/>
          <w:bCs w:val="0"/>
          <w:color w:val="000000"/>
          <w:sz w:val="28"/>
          <w:szCs w:val="28"/>
          <w:lang w:eastAsia="zh-CN"/>
        </w:rPr>
        <w:t>：</w:t>
      </w:r>
      <w:r>
        <w:rPr>
          <w:rStyle w:val="7"/>
          <w:rFonts w:hint="eastAsia" w:ascii="仿宋_GB2312" w:hAnsi="仿宋_GB2312" w:eastAsia="仿宋_GB2312" w:cs="仿宋_GB2312"/>
          <w:b w:val="0"/>
          <w:bCs w:val="0"/>
          <w:color w:val="000000"/>
          <w:sz w:val="28"/>
          <w:szCs w:val="28"/>
        </w:rPr>
        <w:t>职业技能线上培训平台运营服务质量评估表</w:t>
      </w:r>
      <w:r>
        <w:rPr>
          <w:rStyle w:val="7"/>
          <w:rFonts w:hint="eastAsia" w:ascii="仿宋_GB2312" w:hAnsi="仿宋_GB2312" w:eastAsia="仿宋_GB2312" w:cs="仿宋_GB2312"/>
          <w:b w:val="0"/>
          <w:bCs w:val="0"/>
          <w:color w:val="000000"/>
          <w:sz w:val="28"/>
          <w:szCs w:val="28"/>
          <w:lang w:eastAsia="zh-CN"/>
        </w:rPr>
        <w:t>（</w:t>
      </w:r>
      <w:r>
        <w:rPr>
          <w:rStyle w:val="7"/>
          <w:rFonts w:hint="eastAsia" w:ascii="仿宋_GB2312" w:hAnsi="仿宋_GB2312" w:eastAsia="仿宋_GB2312" w:cs="仿宋_GB2312"/>
          <w:b w:val="0"/>
          <w:bCs w:val="0"/>
          <w:color w:val="000000"/>
          <w:sz w:val="28"/>
          <w:szCs w:val="28"/>
          <w:lang w:val="en-US" w:eastAsia="zh-CN"/>
        </w:rPr>
        <w:t>参考</w:t>
      </w:r>
      <w:r>
        <w:rPr>
          <w:rStyle w:val="7"/>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rPr>
        <w:fldChar w:fldCharType="end"/>
      </w:r>
    </w:p>
    <w:p>
      <w:pPr>
        <w:pStyle w:val="4"/>
        <w:widowControl/>
        <w:tabs>
          <w:tab w:val="right" w:leader="dot" w:pos="8306"/>
        </w:tabs>
        <w:jc w:val="left"/>
        <w:rPr>
          <w:color w:val="000000"/>
          <w:sz w:val="32"/>
          <w:szCs w:val="32"/>
        </w:rPr>
      </w:pPr>
      <w:r>
        <w:rPr>
          <w:rFonts w:hint="eastAsia" w:ascii="仿宋_GB2312" w:hAnsi="仿宋_GB2312" w:cs="仿宋_GB2312"/>
          <w:color w:val="000000"/>
          <w:kern w:val="0"/>
          <w:sz w:val="28"/>
          <w:szCs w:val="28"/>
        </w:rPr>
        <w:fldChar w:fldCharType="end"/>
      </w:r>
    </w:p>
    <w:bookmarkEnd w:id="0"/>
    <w:bookmarkEnd w:id="1"/>
    <w:bookmarkEnd w:id="2"/>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spacing w:line="596" w:lineRule="exact"/>
        <w:textAlignment w:val="top"/>
        <w:rPr>
          <w:rFonts w:hint="eastAsia" w:ascii="仿宋_GB2312" w:hAnsi="Times New Roman" w:cs="Times New Roman"/>
        </w:rPr>
      </w:pPr>
    </w:p>
    <w:p>
      <w:pPr>
        <w:pStyle w:val="10"/>
        <w:keepLines w:val="0"/>
        <w:kinsoku/>
        <w:wordWrap/>
        <w:overflowPunct/>
        <w:topLinePunct w:val="0"/>
        <w:bidi w:val="0"/>
        <w:adjustRightInd/>
        <w:snapToGrid w:val="0"/>
        <w:spacing w:before="0" w:beforeLines="0" w:after="300" w:afterLines="50" w:line="520" w:lineRule="exact"/>
        <w:rPr>
          <w:rFonts w:hint="eastAsia" w:ascii="黑体" w:hAnsi="黑体" w:eastAsia="黑体" w:cs="黑体"/>
          <w:color w:val="000000"/>
        </w:rPr>
      </w:pPr>
      <w:r>
        <w:rPr>
          <w:rFonts w:hint="eastAsia" w:ascii="黑体" w:hAnsi="黑体" w:eastAsia="黑体" w:cs="黑体"/>
          <w:color w:val="000000"/>
        </w:rPr>
        <w:t>职业技能线上培训平台运营服务规范</w:t>
      </w:r>
      <w:bookmarkStart w:id="4" w:name="pindex36"/>
      <w:bookmarkEnd w:id="4"/>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5" w:name="_Toc152595332"/>
      <w:bookmarkStart w:id="6" w:name="_Toc150162434"/>
      <w:bookmarkStart w:id="7" w:name="_Toc22730709"/>
      <w:bookmarkStart w:id="8" w:name="_Toc518459950"/>
      <w:bookmarkStart w:id="9" w:name="_Toc22740611"/>
      <w:bookmarkStart w:id="10" w:name="_Toc149132241"/>
      <w:bookmarkStart w:id="11" w:name="_Toc518463126"/>
      <w:r>
        <w:rPr>
          <w:rFonts w:hint="eastAsia" w:ascii="黑体" w:hAnsi="黑体" w:eastAsia="黑体" w:cs="黑体"/>
          <w:color w:val="000000"/>
          <w:sz w:val="28"/>
          <w:szCs w:val="28"/>
          <w:lang w:val="en-US" w:eastAsia="zh-CN" w:bidi="ar-SA"/>
        </w:rPr>
        <w:t>1适用范围</w:t>
      </w:r>
      <w:bookmarkEnd w:id="5"/>
      <w:bookmarkEnd w:id="6"/>
      <w:bookmarkEnd w:id="7"/>
      <w:bookmarkEnd w:id="8"/>
      <w:bookmarkEnd w:id="9"/>
      <w:bookmarkEnd w:id="10"/>
      <w:bookmarkEnd w:id="11"/>
      <w:bookmarkStart w:id="12" w:name="pindex37"/>
      <w:bookmarkEnd w:id="12"/>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本规范给出了职业技能线上培训平台（以下简称“平台”）在基本要求、培训管理、学习服务、运营管理方面的要求。</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本规范适用于线上平台遴选、运营、管理和分类分级评价。</w:t>
      </w:r>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13" w:name="_Toc150162435"/>
      <w:bookmarkStart w:id="14" w:name="_Toc22740612"/>
      <w:bookmarkStart w:id="15" w:name="_Toc518463127"/>
      <w:bookmarkStart w:id="16" w:name="_Toc22730710"/>
      <w:bookmarkStart w:id="17" w:name="_Toc518459951"/>
      <w:bookmarkStart w:id="18" w:name="_Toc152595333"/>
      <w:bookmarkStart w:id="19" w:name="_Toc149132242"/>
      <w:r>
        <w:rPr>
          <w:rFonts w:hint="eastAsia" w:ascii="黑体" w:hAnsi="黑体" w:eastAsia="黑体" w:cs="黑体"/>
          <w:color w:val="000000"/>
          <w:sz w:val="28"/>
          <w:szCs w:val="28"/>
          <w:lang w:val="en-US" w:eastAsia="zh-CN" w:bidi="ar-SA"/>
        </w:rPr>
        <w:t>2规范性引用文件</w:t>
      </w:r>
      <w:bookmarkEnd w:id="13"/>
      <w:bookmarkEnd w:id="14"/>
      <w:bookmarkEnd w:id="15"/>
      <w:bookmarkEnd w:id="16"/>
      <w:bookmarkEnd w:id="17"/>
      <w:bookmarkEnd w:id="18"/>
      <w:bookmarkEnd w:id="19"/>
      <w:bookmarkStart w:id="20" w:name="pindex40"/>
      <w:bookmarkEnd w:id="20"/>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下列文件对于本文件的应用是必不可少的。凡是注日期的引用文件，仅所注日期的版本适用于本文件。凡是不注日期的引用文件，其最新版本（包括所有的修改单）适用于本文件。</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GB/T22081—2008 信息技术 安全技术 信息安全管理实用规则</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GB/T 26997—2011 非正规教育与培训的学习服务 术语</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GB/T 29358—2012 非正规教育与培训的学习服务质量要求 职业培训</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《人力资源社会保障数据安全管理规范（试行）》（人社厅发〔2019〕37号）</w:t>
      </w:r>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21" w:name="_Toc36128114"/>
      <w:bookmarkEnd w:id="21"/>
      <w:bookmarkStart w:id="22" w:name="_Toc22740684"/>
      <w:bookmarkEnd w:id="22"/>
      <w:bookmarkStart w:id="23" w:name="_Toc22740680"/>
      <w:bookmarkEnd w:id="23"/>
      <w:bookmarkStart w:id="24" w:name="_Toc22730712"/>
      <w:bookmarkEnd w:id="24"/>
      <w:bookmarkStart w:id="25" w:name="_Toc36128567"/>
      <w:bookmarkEnd w:id="25"/>
      <w:bookmarkStart w:id="26" w:name="_Toc41655040"/>
      <w:bookmarkEnd w:id="26"/>
      <w:bookmarkStart w:id="27" w:name="_Toc36128575"/>
      <w:bookmarkEnd w:id="27"/>
      <w:bookmarkStart w:id="28" w:name="_Toc22740614"/>
      <w:bookmarkEnd w:id="28"/>
      <w:bookmarkStart w:id="29" w:name="_Toc36128571"/>
      <w:bookmarkEnd w:id="29"/>
      <w:bookmarkStart w:id="30" w:name="_Toc22740682"/>
      <w:bookmarkEnd w:id="30"/>
      <w:bookmarkStart w:id="31" w:name="_Toc22740622"/>
      <w:bookmarkEnd w:id="31"/>
      <w:bookmarkStart w:id="32" w:name="_Toc22740616"/>
      <w:bookmarkEnd w:id="32"/>
      <w:bookmarkStart w:id="33" w:name="_Toc22740686"/>
      <w:bookmarkEnd w:id="33"/>
      <w:bookmarkStart w:id="34" w:name="_Toc518459952"/>
      <w:bookmarkEnd w:id="34"/>
      <w:bookmarkStart w:id="35" w:name="_Toc22740624"/>
      <w:bookmarkEnd w:id="35"/>
      <w:bookmarkStart w:id="36" w:name="_Toc22740620"/>
      <w:bookmarkEnd w:id="36"/>
      <w:bookmarkStart w:id="37" w:name="_Toc22740618"/>
      <w:bookmarkEnd w:id="37"/>
      <w:bookmarkStart w:id="38" w:name="_Toc36128110"/>
      <w:bookmarkEnd w:id="38"/>
      <w:bookmarkStart w:id="39" w:name="_Toc22740688"/>
      <w:bookmarkEnd w:id="39"/>
      <w:bookmarkStart w:id="40" w:name="_Toc36128569"/>
      <w:bookmarkEnd w:id="40"/>
      <w:bookmarkStart w:id="41" w:name="_Toc36128565"/>
      <w:bookmarkEnd w:id="41"/>
      <w:bookmarkStart w:id="42" w:name="_Toc41655038"/>
      <w:bookmarkEnd w:id="42"/>
      <w:bookmarkStart w:id="43" w:name="_Toc22740678"/>
      <w:bookmarkEnd w:id="43"/>
      <w:bookmarkStart w:id="44" w:name="_Toc36128106"/>
      <w:bookmarkEnd w:id="44"/>
      <w:bookmarkStart w:id="45" w:name="_Toc36128104"/>
      <w:bookmarkEnd w:id="45"/>
      <w:bookmarkStart w:id="46" w:name="_Toc36128573"/>
      <w:bookmarkEnd w:id="46"/>
      <w:bookmarkStart w:id="47" w:name="_Toc36128108"/>
      <w:bookmarkEnd w:id="47"/>
      <w:bookmarkStart w:id="48" w:name="_Toc36128112"/>
      <w:bookmarkEnd w:id="48"/>
      <w:bookmarkStart w:id="49" w:name="_Toc22730714"/>
      <w:bookmarkEnd w:id="49"/>
      <w:bookmarkStart w:id="50" w:name="_Toc22730716"/>
      <w:bookmarkEnd w:id="50"/>
      <w:bookmarkStart w:id="51" w:name="_Toc152595334"/>
      <w:bookmarkStart w:id="52" w:name="_Toc149132243"/>
      <w:bookmarkStart w:id="53" w:name="_Toc150162436"/>
      <w:r>
        <w:rPr>
          <w:rFonts w:hint="eastAsia" w:ascii="黑体" w:hAnsi="黑体" w:eastAsia="黑体" w:cs="黑体"/>
          <w:color w:val="000000"/>
          <w:sz w:val="28"/>
          <w:szCs w:val="28"/>
          <w:lang w:val="en-US" w:eastAsia="zh-CN" w:bidi="ar-SA"/>
        </w:rPr>
        <w:t>3平台关键要素及要求</w:t>
      </w:r>
      <w:bookmarkEnd w:id="51"/>
      <w:bookmarkEnd w:id="52"/>
      <w:bookmarkEnd w:id="53"/>
      <w:bookmarkStart w:id="54" w:name="pindex45"/>
      <w:bookmarkEnd w:id="54"/>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55" w:name="_Toc150162437"/>
      <w:bookmarkStart w:id="56" w:name="_Toc152595335"/>
      <w:bookmarkStart w:id="57" w:name="_Toc149132244"/>
      <w:bookmarkStart w:id="58" w:name="_Toc22740628"/>
      <w:r>
        <w:rPr>
          <w:rFonts w:hint="eastAsia" w:ascii="黑体" w:hAnsi="黑体" w:eastAsia="黑体" w:cs="黑体"/>
          <w:color w:val="000000"/>
          <w:sz w:val="28"/>
          <w:szCs w:val="28"/>
          <w:lang w:val="en-US" w:eastAsia="zh-CN" w:bidi="ar-SA"/>
        </w:rPr>
        <w:t>3.1基本要求</w:t>
      </w:r>
      <w:bookmarkEnd w:id="55"/>
      <w:bookmarkEnd w:id="56"/>
      <w:bookmarkEnd w:id="57"/>
      <w:bookmarkStart w:id="59" w:name="pindex46"/>
      <w:bookmarkEnd w:id="59"/>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3.1.1运营机构</w:t>
      </w:r>
      <w:bookmarkStart w:id="60" w:name="pindex47"/>
      <w:bookmarkEnd w:id="60"/>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平台运营机构须为在中国境内依法注册或者登记的企业、事业单位、社会团体、民办非企业单位等组织。</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具有相应资质，包括但不限于机构的营业执照、计算机软件著作权登记证明、信息系统安全等级保护备案证明、ICP（互联网信息服务）业务经营许可、ICP（互联网信息服务）备案，且主办单位与平台运营机构一致。</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平台运营机构具有良好的社会信用，无违法、违纪、失信等不良行为记录。</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平台正常稳定运营二年以上（以ICP首次备案审核通过时间为准，省内自建平台另计），平台服务器设置在中国境内。</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平台运营机构具有规范的财务制度和管理制度，承担对服务对象交易安全、隐私保护等合法权益的基础责任。</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3.1.2基础设施</w:t>
      </w:r>
      <w:bookmarkStart w:id="61" w:name="pindex52"/>
      <w:bookmarkEnd w:id="61"/>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平台的服务器负载、网络带宽、并发数满足在线学习者人数及学习需求。</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平台支持电脑端、移动设备端。电脑端支持主流浏览器，对浏览器版本兼容性好；移动设备端支持主流操作系统，兼容性好。</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平台建立网络与信息安全保障机制，包括但不限于防火墙设置、防病毒软件安装、访问日志留存、平台数据多机备份、服务器密码管理、平台权限管理、个人身份信息数据加密及导出脱敏、信息系统安全运维等。</w:t>
      </w:r>
    </w:p>
    <w:bookmarkEnd w:id="58"/>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62" w:name="pindex57"/>
      <w:bookmarkEnd w:id="62"/>
      <w:bookmarkStart w:id="63" w:name="pindex56"/>
      <w:bookmarkEnd w:id="63"/>
      <w:bookmarkStart w:id="64" w:name="pindex60"/>
      <w:bookmarkEnd w:id="64"/>
      <w:bookmarkStart w:id="65" w:name="_Toc149132246"/>
      <w:bookmarkStart w:id="66" w:name="_Toc152595336"/>
      <w:bookmarkStart w:id="67" w:name="_Toc150162439"/>
      <w:r>
        <w:rPr>
          <w:rFonts w:hint="eastAsia" w:ascii="黑体" w:hAnsi="黑体" w:eastAsia="黑体" w:cs="黑体"/>
          <w:color w:val="000000"/>
          <w:sz w:val="28"/>
          <w:szCs w:val="28"/>
          <w:lang w:val="en-US" w:eastAsia="zh-CN" w:bidi="ar-SA"/>
        </w:rPr>
        <w:t>3.2培训管理</w:t>
      </w:r>
      <w:bookmarkEnd w:id="65"/>
      <w:bookmarkEnd w:id="66"/>
      <w:bookmarkEnd w:id="67"/>
      <w:bookmarkStart w:id="68" w:name="pindex63"/>
      <w:bookmarkEnd w:id="68"/>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3.2.1用户核验</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对服务对象进行实名认证。对机构实名认证内容包括但不限于：机构名称、统一社会信用代码、机构地址、法定代表人姓名、联系人姓名、联系人职务、联系人电话等。对学习者认证内容包括但不限于：姓名、公民身份号码、电子社保卡号码、手机号码、居民身份证照片、头像相片等。</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具备安全、便捷的用户身份核验技术，包括但不限于采用人脸识别认证、电信运营商手机实名认证、电子社保卡实名认证等方式，在用户注册、学习、考试等环节对用户身份进行核验。支持学习者使用以电子社保卡为载体的职业培训券。</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3.2.2培训项目</w:t>
      </w:r>
      <w:bookmarkStart w:id="69" w:name="pindex64"/>
      <w:bookmarkEnd w:id="69"/>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培训项目根据培训对象、国家职业分类等方式进行分类管理。</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培训项目发布支持根据相关标准规范中要求的知识点和技能点进行课程内容编排。相关标准规范包括国家职业标准、专项职业能力考核规范、企业岗位规范等。</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培训项目发布支持多种内容形式，包括但不限于视频、音频、图文、文档、自测、互动式课件、虚拟仿真等。</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3.2.3培训过程</w:t>
      </w:r>
      <w:bookmarkStart w:id="70" w:name="pindex69"/>
      <w:bookmarkEnd w:id="70"/>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培训过程支持直播、录播、课件、在线研讨、互动交流等多种培训形式。</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培训过程支持学习者自主学习、模拟实操、测试、协作等多种培训组织形式。</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培训过程支持电子邮件、即时通信、电话等多种形式向学习者推送培训安排及答疑。</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3.2.4</w:t>
      </w:r>
      <w:bookmarkStart w:id="71" w:name="pindex73"/>
      <w:bookmarkEnd w:id="71"/>
      <w:r>
        <w:rPr>
          <w:rFonts w:hint="eastAsia" w:ascii="仿宋_GB2312" w:hAnsi="仿宋_GB2312" w:eastAsia="仿宋_GB2312" w:cs="仿宋_GB2312"/>
          <w:color w:val="000000"/>
          <w:sz w:val="28"/>
          <w:szCs w:val="28"/>
        </w:rPr>
        <w:t>质量与安全管理</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平台具有人脸识别、即时互动、禁止同一账号同时多端口登录、禁止多页面非前台播放课程等质量管控功能，防止刷课、挂课、替课、刷考、替考等弄虚作假行为，确保培训过程真实、有效。</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平台支持培训机构、企业用人单位对培训班级、学习者的考勤、学习、测试等数据进行记录、查询、统计分析，支持对培训项目数字资源的使用情况等进行统计分析。</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平台支持监管机构对培训机构、企业用人单位开展的培训项目数据进行查询、调取、统计分析。</w:t>
      </w:r>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72" w:name="_Toc152595337"/>
      <w:bookmarkStart w:id="73" w:name="_Toc150162440"/>
      <w:bookmarkStart w:id="74" w:name="_Toc149132247"/>
      <w:r>
        <w:rPr>
          <w:rFonts w:hint="eastAsia" w:ascii="黑体" w:hAnsi="黑体" w:eastAsia="黑体" w:cs="黑体"/>
          <w:color w:val="000000"/>
          <w:sz w:val="28"/>
          <w:szCs w:val="28"/>
          <w:lang w:val="en-US" w:eastAsia="zh-CN" w:bidi="ar-SA"/>
        </w:rPr>
        <w:t>3.3学习服务</w:t>
      </w:r>
      <w:bookmarkEnd w:id="72"/>
      <w:bookmarkEnd w:id="73"/>
      <w:bookmarkEnd w:id="74"/>
      <w:bookmarkStart w:id="75" w:name="pindex76"/>
      <w:bookmarkEnd w:id="75"/>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3.3.1学习功能</w:t>
      </w:r>
      <w:bookmarkStart w:id="76" w:name="pindex77"/>
      <w:bookmarkEnd w:id="76"/>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平台支持对学习者学习过程进行记录，包括但不限于学习开始时间、学习时长、作业和测试。</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平台支持按课程和学习者分别统计累计学习时长、每日学习时长、平均学习时长、指定时间段内学习时长、按每日/周/月统计学习时长变化等。</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平台支持统计学习者参加课程总数量、完成课程数量、课程开始后退出的课程数量、课程未开始时退出的课程数量、未退出且未完成课程数量等。</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平台支持对学习者进行过程性评价和结果性评价，并记录评价数据，包括但不限于测试的结果，时长，错题分布，测试行为规范的信息。</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平台支持生成符合监管机构要求的学习者学习档案。</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平台为学习者提供在平台学习活动中形成的学习记录，包括但不限于学习过程、学习结果。</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3.3.2学习支持</w:t>
      </w:r>
      <w:bookmarkStart w:id="77" w:name="pindex84"/>
      <w:bookmarkEnd w:id="77"/>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平台支持学习者查看学习进度，包括已完成课程、参与度等信息。</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平台为学习者提供个性化的学习建议和反馈，以帮助学习者提高学习效果。</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平台为学习者提供所学习课程的基本信息和学习指南，方便学习者制定学习计划。</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平台为学习者提供平台使用说明，指导学习者使用学习平台，及时解决学习活动与服务过程中的技术问题。</w:t>
      </w:r>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78" w:name="_Toc150162441"/>
      <w:bookmarkStart w:id="79" w:name="_Toc149132248"/>
      <w:bookmarkStart w:id="80" w:name="_Toc152595338"/>
      <w:r>
        <w:rPr>
          <w:rFonts w:hint="eastAsia" w:ascii="黑体" w:hAnsi="黑体" w:eastAsia="黑体" w:cs="黑体"/>
          <w:color w:val="000000"/>
          <w:sz w:val="28"/>
          <w:szCs w:val="28"/>
          <w:lang w:val="en-US" w:eastAsia="zh-CN" w:bidi="ar-SA"/>
        </w:rPr>
        <w:t>3.4</w:t>
      </w:r>
      <w:bookmarkEnd w:id="78"/>
      <w:bookmarkEnd w:id="79"/>
      <w:bookmarkStart w:id="81" w:name="pindex89"/>
      <w:bookmarkEnd w:id="81"/>
      <w:r>
        <w:rPr>
          <w:rFonts w:hint="eastAsia" w:ascii="黑体" w:hAnsi="黑体" w:eastAsia="黑体" w:cs="黑体"/>
          <w:color w:val="000000"/>
          <w:sz w:val="28"/>
          <w:szCs w:val="28"/>
          <w:lang w:val="en-US" w:eastAsia="zh-CN" w:bidi="ar-SA"/>
        </w:rPr>
        <w:t>运营管理</w:t>
      </w:r>
      <w:bookmarkEnd w:id="80"/>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3.4.1平台运维</w:t>
      </w:r>
      <w:bookmarkStart w:id="82" w:name="pindex90"/>
      <w:bookmarkEnd w:id="82"/>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平台根据服务对象的数量配备人数适宜、结构合理的运维团队，成员具备专业知识和技能。</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运维服务团队及时发现和解决平台系统运行问题，降低故障发生的概率，确保业务的连续性。</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3.4.2</w:t>
      </w:r>
      <w:bookmarkStart w:id="83" w:name="pindex93"/>
      <w:bookmarkEnd w:id="83"/>
      <w:r>
        <w:rPr>
          <w:rFonts w:hint="eastAsia" w:ascii="仿宋_GB2312" w:hAnsi="仿宋_GB2312" w:eastAsia="仿宋_GB2312" w:cs="仿宋_GB2312"/>
          <w:color w:val="000000"/>
          <w:sz w:val="28"/>
          <w:szCs w:val="28"/>
        </w:rPr>
        <w:t>客户服务</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平台根据服务对象的数量配备人数适宜、结构合理的客服团队，成员具备专业知识和技能。</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平台提供电话、网络投诉渠道并保证渠道畅通，及时处理客户反馈问题，并建立沟通管理机制，明确反馈时限，按时答复、安排处理服务对象诉求。</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平台具有常见问题清单、投诉反馈的渠道、问题处理流程及操作记录。</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平台建立平台服务评价管理机制，常态化接受服务评价，评价形式包括学习者评价、企业评价、培训机构评价和自我评价等。</w:t>
      </w:r>
    </w:p>
    <w:p>
      <w:pPr>
        <w:pStyle w:val="12"/>
        <w:keepNext w:val="0"/>
        <w:keepLines w:val="0"/>
        <w:pageBreakBefore w:val="0"/>
        <w:widowControl/>
        <w:kinsoku/>
        <w:wordWrap/>
        <w:overflowPunct/>
        <w:topLinePunct w:val="0"/>
        <w:autoSpaceDE/>
        <w:autoSpaceDN/>
        <w:bidi w:val="0"/>
        <w:adjustRightInd/>
        <w:snapToGrid/>
        <w:spacing w:before="0" w:beforeLines="0" w:after="0" w:afterLines="0" w:line="5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3.4.3</w:t>
      </w:r>
      <w:bookmarkStart w:id="84" w:name="pindex98"/>
      <w:bookmarkEnd w:id="84"/>
      <w:r>
        <w:rPr>
          <w:rFonts w:hint="eastAsia" w:ascii="仿宋_GB2312" w:hAnsi="仿宋_GB2312" w:eastAsia="仿宋_GB2312" w:cs="仿宋_GB2312"/>
          <w:color w:val="000000"/>
          <w:sz w:val="28"/>
          <w:szCs w:val="28"/>
        </w:rPr>
        <w:t>平台管理</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平台运营机构内设部门组织结构科学、职责明确、人员配置合理，有完善可行的员工管理制度。</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建立平台服务监督机制。设置服务公示版块，内容包括但不限于服务内容、服务依据、服务流程、服务要求、投诉渠道。实施内部监督和审核，同时接受外部监督，设置监督意见反馈表，会议审核记录等，根据监督和审核结果，实施纠正和预防措施。</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平台运营机构根据服务评价制定整改措施，进行优化和改进；注重服务对象的满意度和服务效能的提升。</w:t>
      </w:r>
    </w:p>
    <w:p>
      <w:pPr>
        <w:keepNext w:val="0"/>
        <w:keepLines w:val="0"/>
        <w:pageBreakBefore w:val="0"/>
        <w:widowControl/>
        <w:kinsoku/>
        <w:wordWrap/>
        <w:overflowPunct/>
        <w:topLinePunct w:val="0"/>
        <w:autoSpaceDE/>
        <w:autoSpaceDN/>
        <w:bidi w:val="0"/>
        <w:adjustRightInd/>
        <w:snapToGrid/>
        <w:spacing w:beforeLines="0" w:afterLines="0" w:line="520" w:lineRule="exact"/>
        <w:jc w:val="both"/>
        <w:textAlignment w:val="auto"/>
        <w:outlineLvl w:val="1"/>
        <w:rPr>
          <w:rFonts w:hint="eastAsia" w:ascii="黑体" w:hAnsi="黑体" w:eastAsia="黑体" w:cs="黑体"/>
          <w:color w:val="000000"/>
          <w:sz w:val="28"/>
          <w:szCs w:val="28"/>
          <w:lang w:val="en-US" w:eastAsia="zh-CN" w:bidi="ar-SA"/>
        </w:rPr>
      </w:pPr>
      <w:bookmarkStart w:id="85" w:name="_Toc149132249"/>
      <w:bookmarkStart w:id="86" w:name="_Toc152595339"/>
      <w:bookmarkStart w:id="87" w:name="_Toc150162442"/>
      <w:r>
        <w:rPr>
          <w:rFonts w:hint="eastAsia" w:ascii="黑体" w:hAnsi="黑体" w:eastAsia="黑体" w:cs="黑体"/>
          <w:color w:val="000000"/>
          <w:sz w:val="28"/>
          <w:szCs w:val="28"/>
          <w:lang w:val="en-US" w:eastAsia="zh-CN" w:bidi="ar-SA"/>
        </w:rPr>
        <w:t>4平台类别及分类规则</w:t>
      </w:r>
      <w:bookmarkEnd w:id="85"/>
      <w:bookmarkEnd w:id="86"/>
      <w:bookmarkEnd w:id="87"/>
      <w:bookmarkStart w:id="88" w:name="pindex104"/>
      <w:bookmarkEnd w:id="88"/>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平台的类别可从培训目的、培训对象、培训内容、培训方式、评价方式、培训管理等角度划分。</w:t>
      </w:r>
    </w:p>
    <w:p>
      <w:pPr>
        <w:keepLines w:val="0"/>
        <w:kinsoku/>
        <w:wordWrap/>
        <w:overflowPunct/>
        <w:topLinePunct w:val="0"/>
        <w:autoSpaceDE w:val="0"/>
        <w:autoSpaceDN w:val="0"/>
        <w:bidi w:val="0"/>
        <w:adjustRightInd/>
        <w:spacing w:beforeLines="0" w:afterLines="0" w:line="520" w:lineRule="exact"/>
        <w:ind w:firstLine="556" w:firstLineChars="200"/>
        <w:jc w:val="both"/>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根据职业技能线上培训平台的特点，可综合考虑以上因素进行分类。如：面向培训机构提供服务的平台、面向企业用人单位提供服务的平台、直接面向学习者提供培训服务的平台。可根据服务对象的不同选择相应规范指标用于不同类别平台的规范要求。</w:t>
      </w:r>
    </w:p>
    <w:p>
      <w:pPr>
        <w:spacing w:line="596" w:lineRule="exact"/>
        <w:textAlignment w:val="top"/>
        <w:rPr>
          <w:rFonts w:ascii="Times New Roman" w:hAnsi="Times New Roman" w:cs="Times New Roman"/>
        </w:rPr>
      </w:pPr>
    </w:p>
    <w:p>
      <w:pPr>
        <w:spacing w:line="596" w:lineRule="exact"/>
        <w:textAlignment w:val="top"/>
        <w:sectPr>
          <w:footerReference r:id="rId5" w:type="first"/>
          <w:footerReference r:id="rId4" w:type="default"/>
          <w:pgSz w:w="11906" w:h="16838"/>
          <w:pgMar w:top="2098" w:right="1418" w:bottom="1588" w:left="1588" w:header="851" w:footer="1361" w:gutter="0"/>
          <w:pgNumType w:fmt="decimal"/>
          <w:cols w:space="720" w:num="1"/>
          <w:titlePg/>
          <w:docGrid w:type="linesAndChars" w:linePitch="596" w:charSpace="-439"/>
        </w:sectPr>
      </w:pPr>
    </w:p>
    <w:p>
      <w:pPr>
        <w:pStyle w:val="13"/>
        <w:keepNext w:val="0"/>
        <w:keepLines w:val="0"/>
        <w:pageBreakBefore w:val="0"/>
        <w:widowControl/>
        <w:kinsoku/>
        <w:wordWrap/>
        <w:overflowPunct/>
        <w:topLinePunct w:val="0"/>
        <w:autoSpaceDE/>
        <w:autoSpaceDN/>
        <w:bidi w:val="0"/>
        <w:adjustRightInd/>
        <w:snapToGrid/>
        <w:spacing w:beforeLines="0" w:afterLines="0"/>
        <w:textAlignment w:val="auto"/>
        <w:rPr>
          <w:color w:val="000000"/>
          <w:sz w:val="32"/>
          <w:szCs w:val="28"/>
        </w:rPr>
      </w:pPr>
      <w:bookmarkStart w:id="89" w:name="pindex108"/>
      <w:bookmarkEnd w:id="89"/>
      <w:r>
        <w:rPr>
          <w:rFonts w:hint="eastAsia"/>
          <w:color w:val="000000"/>
          <w:sz w:val="32"/>
          <w:szCs w:val="28"/>
        </w:rPr>
        <w:t>附件</w:t>
      </w:r>
    </w:p>
    <w:p>
      <w:pPr>
        <w:pStyle w:val="13"/>
        <w:spacing w:beforeLines="0" w:afterLines="0"/>
        <w:jc w:val="center"/>
        <w:rPr>
          <w:rFonts w:hint="eastAsia" w:ascii="方正小标宋_GBK" w:hAnsi="方正小标宋_GBK" w:eastAsia="方正小标宋_GBK" w:cs="方正小标宋_GBK"/>
          <w:color w:val="000000"/>
          <w:sz w:val="30"/>
          <w:szCs w:val="30"/>
          <w:lang w:eastAsia="zh-CN"/>
        </w:rPr>
      </w:pPr>
      <w:bookmarkStart w:id="90" w:name="_Toc152595341"/>
      <w:r>
        <w:rPr>
          <w:rFonts w:hint="eastAsia" w:ascii="方正小标宋_GBK" w:hAnsi="方正小标宋_GBK" w:eastAsia="方正小标宋_GBK" w:cs="方正小标宋_GBK"/>
          <w:color w:val="000000"/>
          <w:sz w:val="30"/>
          <w:szCs w:val="30"/>
        </w:rPr>
        <w:t>职业技能线上培训平台运营服务质量评估表</w:t>
      </w:r>
      <w:bookmarkEnd w:id="90"/>
      <w:r>
        <w:rPr>
          <w:rFonts w:hint="eastAsia" w:ascii="方正小标宋_GBK" w:hAnsi="方正小标宋_GBK" w:eastAsia="方正小标宋_GBK" w:cs="方正小标宋_GBK"/>
          <w:color w:val="000000"/>
          <w:sz w:val="30"/>
          <w:szCs w:val="30"/>
          <w:lang w:eastAsia="zh-CN"/>
        </w:rPr>
        <w:t>（</w:t>
      </w:r>
      <w:r>
        <w:rPr>
          <w:rFonts w:hint="eastAsia" w:ascii="方正小标宋_GBK" w:hAnsi="方正小标宋_GBK" w:eastAsia="方正小标宋_GBK" w:cs="方正小标宋_GBK"/>
          <w:color w:val="000000"/>
          <w:sz w:val="30"/>
          <w:szCs w:val="30"/>
          <w:lang w:val="en-US" w:eastAsia="zh-CN"/>
        </w:rPr>
        <w:t>参考</w:t>
      </w:r>
      <w:r>
        <w:rPr>
          <w:rFonts w:hint="eastAsia" w:ascii="方正小标宋_GBK" w:hAnsi="方正小标宋_GBK" w:eastAsia="方正小标宋_GBK" w:cs="方正小标宋_GBK"/>
          <w:color w:val="000000"/>
          <w:sz w:val="30"/>
          <w:szCs w:val="30"/>
          <w:lang w:eastAsia="zh-CN"/>
        </w:rPr>
        <w:t>）</w:t>
      </w:r>
    </w:p>
    <w:tbl>
      <w:tblPr>
        <w:tblStyle w:val="8"/>
        <w:tblW w:w="10023" w:type="dxa"/>
        <w:jc w:val="center"/>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0"/>
        <w:gridCol w:w="705"/>
        <w:gridCol w:w="3000"/>
        <w:gridCol w:w="578"/>
        <w:gridCol w:w="1110"/>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blHeader/>
          <w:jc w:val="center"/>
        </w:trPr>
        <w:tc>
          <w:tcPr>
            <w:tcW w:w="2332" w:type="dxa"/>
            <w:gridSpan w:val="3"/>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评估指标</w:t>
            </w:r>
          </w:p>
        </w:tc>
        <w:tc>
          <w:tcPr>
            <w:tcW w:w="300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b/>
                <w:bCs/>
                <w:color w:val="000000"/>
                <w:szCs w:val="21"/>
              </w:rPr>
              <w:t>内容要求</w:t>
            </w:r>
          </w:p>
        </w:tc>
        <w:tc>
          <w:tcPr>
            <w:tcW w:w="578"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分值</w:t>
            </w:r>
          </w:p>
        </w:tc>
        <w:tc>
          <w:tcPr>
            <w:tcW w:w="11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评估方法</w:t>
            </w:r>
          </w:p>
        </w:tc>
        <w:tc>
          <w:tcPr>
            <w:tcW w:w="3003"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17"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一级</w:t>
            </w:r>
          </w:p>
        </w:tc>
        <w:tc>
          <w:tcPr>
            <w:tcW w:w="81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二级</w:t>
            </w:r>
          </w:p>
        </w:tc>
        <w:tc>
          <w:tcPr>
            <w:tcW w:w="705"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三级</w:t>
            </w:r>
          </w:p>
        </w:tc>
        <w:tc>
          <w:tcPr>
            <w:tcW w:w="3000" w:type="dxa"/>
            <w:vMerge w:val="continue"/>
            <w:vAlign w:val="center"/>
          </w:tcPr>
          <w:p>
            <w:pPr>
              <w:pStyle w:val="11"/>
              <w:tabs>
                <w:tab w:val="center" w:pos="709"/>
                <w:tab w:val="clear" w:pos="4201"/>
              </w:tabs>
              <w:ind w:firstLine="0" w:firstLineChars="0"/>
              <w:rPr>
                <w:rFonts w:hint="eastAsia" w:ascii="宋体" w:hAnsi="宋体" w:eastAsia="宋体" w:cs="宋体"/>
                <w:color w:val="000000"/>
                <w:szCs w:val="21"/>
              </w:rPr>
            </w:pPr>
          </w:p>
        </w:tc>
        <w:tc>
          <w:tcPr>
            <w:tcW w:w="578" w:type="dxa"/>
            <w:vMerge w:val="continue"/>
            <w:vAlign w:val="center"/>
          </w:tcPr>
          <w:p>
            <w:pPr>
              <w:pStyle w:val="11"/>
              <w:tabs>
                <w:tab w:val="center" w:pos="709"/>
                <w:tab w:val="clear" w:pos="4201"/>
              </w:tabs>
              <w:ind w:firstLine="0" w:firstLineChars="0"/>
              <w:jc w:val="center"/>
              <w:rPr>
                <w:rFonts w:hint="eastAsia" w:ascii="宋体" w:hAnsi="宋体" w:eastAsia="宋体" w:cs="宋体"/>
                <w:color w:val="000000"/>
                <w:szCs w:val="21"/>
              </w:rPr>
            </w:pPr>
          </w:p>
        </w:tc>
        <w:tc>
          <w:tcPr>
            <w:tcW w:w="1110" w:type="dxa"/>
            <w:vMerge w:val="continue"/>
            <w:vAlign w:val="center"/>
          </w:tcPr>
          <w:p>
            <w:pPr>
              <w:pStyle w:val="11"/>
              <w:tabs>
                <w:tab w:val="center" w:pos="709"/>
                <w:tab w:val="clear" w:pos="4201"/>
              </w:tabs>
              <w:ind w:firstLine="0" w:firstLineChars="0"/>
              <w:jc w:val="center"/>
              <w:rPr>
                <w:rFonts w:hint="eastAsia" w:ascii="宋体" w:hAnsi="宋体" w:eastAsia="宋体" w:cs="宋体"/>
                <w:color w:val="000000"/>
                <w:szCs w:val="21"/>
              </w:rPr>
            </w:pPr>
          </w:p>
        </w:tc>
        <w:tc>
          <w:tcPr>
            <w:tcW w:w="3003" w:type="dxa"/>
            <w:vMerge w:val="continue"/>
            <w:vAlign w:val="center"/>
          </w:tcPr>
          <w:p>
            <w:pPr>
              <w:pStyle w:val="11"/>
              <w:tabs>
                <w:tab w:val="center" w:pos="709"/>
                <w:tab w:val="clear" w:pos="4201"/>
              </w:tabs>
              <w:ind w:firstLine="0" w:firstLineChars="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基本要求（20分）</w:t>
            </w: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运营机构（11分）</w:t>
            </w: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机构资质</w:t>
            </w:r>
          </w:p>
        </w:tc>
        <w:tc>
          <w:tcPr>
            <w:tcW w:w="3000" w:type="dxa"/>
            <w:vAlign w:val="center"/>
          </w:tcPr>
          <w:p>
            <w:pPr>
              <w:pStyle w:val="11"/>
              <w:snapToGrid w:val="0"/>
              <w:ind w:firstLine="0" w:firstLineChars="0"/>
              <w:rPr>
                <w:rFonts w:hint="eastAsia" w:ascii="宋体" w:hAnsi="宋体" w:eastAsia="宋体" w:cs="宋体"/>
                <w:color w:val="000000"/>
                <w:szCs w:val="21"/>
              </w:rPr>
            </w:pPr>
            <w:bookmarkStart w:id="91" w:name="sys1278346"/>
            <w:r>
              <w:rPr>
                <w:rFonts w:hint="eastAsia" w:ascii="宋体" w:hAnsi="宋体" w:eastAsia="宋体" w:cs="宋体"/>
                <w:color w:val="000000"/>
                <w:szCs w:val="21"/>
              </w:rPr>
              <w:t>平台运营机构具有相应资质，包括但不限于机构的营业执照、计算机软件著作权登记证明、信息系统安全等级保护备案证明、ICP（互联网信息服务）业务经营许可、ICP（互联网信息服务）备案，且主办单位与平台运营机构一致。平台运营机构须为在中国境内依法注册或者登记的企业、事业单位、社会团体、民办非企业单位等组织。</w:t>
            </w:r>
            <w:bookmarkEnd w:id="91"/>
            <w:r>
              <w:rPr>
                <w:rFonts w:hint="eastAsia" w:ascii="宋体" w:hAnsi="宋体" w:eastAsia="宋体" w:cs="宋体"/>
                <w:color w:val="000000"/>
                <w:szCs w:val="21"/>
              </w:rPr>
              <w:t>平台服务器设置在中国境内</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文件审阅平台抽验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营机构具有相应资质，包括但不限于机构的营业执照、计算机软件著作权登记证明、信息系统安全等级保护备案证明、ICP（互联网信息服务）业务经营许可、ICP（互联网信息服务）备案，且主办单位与平台运营机构一致。平台运营机构为在中国境内依法注册或者登记的企业、事业单位、社会团体、民办非企业单位等组织。平台服务器设置在中国境内。</w:t>
            </w:r>
            <w:r>
              <w:rPr>
                <w:rFonts w:hint="eastAsia" w:ascii="宋体" w:hAnsi="宋体" w:eastAsia="宋体" w:cs="宋体"/>
                <w:color w:val="000000"/>
                <w:sz w:val="21"/>
                <w:szCs w:val="21"/>
                <w:lang w:eastAsia="zh-CN"/>
              </w:rPr>
              <w:t>（2.0分）</w:t>
            </w:r>
          </w:p>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运营状态</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平台正常稳定运营二年以上（以ICP首次备案审核通过时间为准）</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文件审阅平台抽验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平台正常稳定运营二年以上（以ICP首次备案审核通过时间为准）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或为省级自建平台</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（2.0分）</w:t>
            </w:r>
          </w:p>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服务案例</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平台运营服务案例</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文件审阅平台抽验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平台能够提供国内20个以上省市的成功案例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或为省级自建平台</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平台能够提供国内20个以内省市的成功案例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或为市级自建平台</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社会信誉</w:t>
            </w:r>
          </w:p>
        </w:tc>
        <w:tc>
          <w:tcPr>
            <w:tcW w:w="3000" w:type="dxa"/>
            <w:vAlign w:val="center"/>
          </w:tcPr>
          <w:p>
            <w:pPr>
              <w:snapToGrid w:val="0"/>
              <w:jc w:val="both"/>
              <w:rPr>
                <w:rFonts w:hint="eastAsia" w:ascii="宋体" w:hAnsi="宋体" w:eastAsia="宋体" w:cs="宋体"/>
                <w:color w:val="000000"/>
                <w:sz w:val="21"/>
                <w:szCs w:val="21"/>
              </w:rPr>
            </w:pPr>
            <w:bookmarkStart w:id="92" w:name="sys153033"/>
            <w:r>
              <w:rPr>
                <w:rFonts w:hint="eastAsia" w:ascii="宋体" w:hAnsi="宋体" w:eastAsia="宋体" w:cs="宋体"/>
                <w:color w:val="000000"/>
                <w:sz w:val="21"/>
                <w:szCs w:val="21"/>
              </w:rPr>
              <w:t>平台运营机构具有良好的社会信用，无违法、违纪、失信等不良行为记录</w:t>
            </w:r>
            <w:bookmarkEnd w:id="92"/>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文件审阅第三方查证</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平台运营机构社会信用良好，无违法、违纪、失信等不良行为记录。</w:t>
            </w:r>
            <w:r>
              <w:rPr>
                <w:rFonts w:hint="eastAsia" w:ascii="宋体" w:hAnsi="宋体" w:eastAsia="宋体" w:cs="宋体"/>
                <w:color w:val="000000"/>
                <w:sz w:val="21"/>
                <w:szCs w:val="21"/>
                <w:lang w:eastAsia="zh-CN"/>
              </w:rPr>
              <w:t>（1.1～2.0分）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平台运营机构存在已整改的不良记录。</w:t>
            </w:r>
            <w:r>
              <w:rPr>
                <w:rFonts w:hint="eastAsia" w:ascii="宋体" w:hAnsi="宋体" w:eastAsia="宋体" w:cs="宋体"/>
                <w:color w:val="000000"/>
                <w:szCs w:val="21"/>
                <w:lang w:eastAsia="zh-CN"/>
              </w:rPr>
              <w:t>（0～1.0分）</w:t>
            </w:r>
          </w:p>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平台运营机构存在失信等不良记录。【单项否决】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权益保障</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平台运营机构具有规范的财务制度和管理制度，承担对服务对象交易安全、隐私保护等合法权益的基础责任</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平台运营机构具有资金管理制度、保障条件。</w:t>
            </w:r>
            <w:r>
              <w:rPr>
                <w:rFonts w:hint="eastAsia" w:ascii="宋体" w:hAnsi="宋体" w:eastAsia="宋体" w:cs="宋体"/>
                <w:color w:val="000000"/>
                <w:sz w:val="21"/>
                <w:szCs w:val="21"/>
                <w:lang w:eastAsia="zh-CN"/>
              </w:rPr>
              <w:t>（1.1～2.0分）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平台运营机构具有资金管理制度或保障条件。</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基础设施（9分）</w:t>
            </w: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平台性能</w:t>
            </w:r>
          </w:p>
        </w:tc>
        <w:tc>
          <w:tcPr>
            <w:tcW w:w="3000" w:type="dxa"/>
            <w:vAlign w:val="center"/>
          </w:tcPr>
          <w:p>
            <w:pPr>
              <w:snapToGrid w:val="0"/>
              <w:jc w:val="both"/>
              <w:rPr>
                <w:rFonts w:hint="eastAsia" w:ascii="宋体" w:hAnsi="宋体" w:eastAsia="宋体" w:cs="宋体"/>
                <w:color w:val="000000"/>
                <w:sz w:val="21"/>
                <w:szCs w:val="21"/>
              </w:rPr>
            </w:pPr>
            <w:bookmarkStart w:id="93" w:name="sys173031"/>
            <w:r>
              <w:rPr>
                <w:rFonts w:hint="eastAsia" w:ascii="宋体" w:hAnsi="宋体" w:eastAsia="宋体" w:cs="宋体"/>
                <w:color w:val="000000"/>
                <w:sz w:val="21"/>
                <w:szCs w:val="21"/>
              </w:rPr>
              <w:t>平台的服务器负载、网络带宽、并发数满足在线学习者人数及学习需求</w:t>
            </w:r>
            <w:bookmarkEnd w:id="93"/>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文件审阅平台抽验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平台的服务器负载、网络带宽、并发数与学习者人数及学习需求匹配。</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平台的服务器负载、网络带宽、并发数与学习者人数及学习需求存在一定的匹配关系。</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终端支持</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平台支持电脑端、移动设备端。电脑端支持主流浏览器，对浏览器版本兼容性好；移动设备端支持主流操作系统，兼容性好</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平台检验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用户体验舒适，响应速度快，界面流畅，未出现报错提示。</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用户体验一般，有待改进。</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信息安全</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平台建立网络与信息安全保障机制，包括但不限于防火墙设置、防病毒软件安装、访问日志留存、平台数据多机备份、服务器密码管理、平台权限管理、个人身份信息数据加密及导出脱敏、信息系统安全运维等</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文件审阅平台抽验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平台有完备的网络与信息安全保障体系、网络与信息安全应急处置和通报机制。</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平台的网络与信息安全保障体系、网络与信息安全应急处置和通报机制不够完备。</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restart"/>
            <w:vAlign w:val="center"/>
          </w:tcPr>
          <w:p>
            <w:pPr>
              <w:pStyle w:val="11"/>
              <w:tabs>
                <w:tab w:val="center" w:pos="709"/>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培训管理（45分）</w:t>
            </w:r>
          </w:p>
        </w:tc>
        <w:tc>
          <w:tcPr>
            <w:tcW w:w="810" w:type="dxa"/>
            <w:vMerge w:val="restart"/>
            <w:vAlign w:val="center"/>
          </w:tcPr>
          <w:p>
            <w:pPr>
              <w:pStyle w:val="11"/>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用户核验（8分）</w:t>
            </w:r>
          </w:p>
        </w:tc>
        <w:tc>
          <w:tcPr>
            <w:tcW w:w="705" w:type="dxa"/>
            <w:vAlign w:val="center"/>
          </w:tcPr>
          <w:p>
            <w:pPr>
              <w:pStyle w:val="11"/>
              <w:tabs>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身份认证</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对服务对象进行实名认证。对机构实名认证内容包括但不限于：机构名称、统一社会信用代码、机构地址、法定代表人姓名、联系人姓名、联系人职务、联系人电话等。对学习者认证内容包括但不限于：姓名、公民身份号码、电子社保卡号码、手机号码、居民身份证照片、头像相片等</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平台严格执行对服务对象的实名认证。</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平台对服务对象的实名认证存在漏洞。</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6" w:hRule="atLeast"/>
          <w:jc w:val="center"/>
        </w:trPr>
        <w:tc>
          <w:tcPr>
            <w:tcW w:w="817" w:type="dxa"/>
            <w:vMerge w:val="continue"/>
            <w:vAlign w:val="center"/>
          </w:tcPr>
          <w:p>
            <w:pPr>
              <w:pStyle w:val="11"/>
              <w:tabs>
                <w:tab w:val="center" w:pos="709"/>
              </w:tabs>
              <w:snapToGrid w:val="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18"/>
                <w:tab w:val="clear" w:pos="4201"/>
              </w:tabs>
              <w:snapToGrid w:val="0"/>
              <w:ind w:left="38"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学习过程</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具备安全、便捷的用户身份核验技术，包括但不限于采用人脸识别认证、电信运营商手机实名认证、电子社保卡实名认证等方式，在用户注册、学习、考试等环节对用户身份进行核验。支持学习者使用以电子社保卡为载体的职业培训券</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平台支持学习者真实学习行为的身份确认，支持职业培训券。</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对学习者在学习过程中真实学习行为的身份确认存在漏洞。</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培训项目（12分）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分类目录</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培训项目根据培训对象、国家职业分类等方式进行分类管理</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文件审阅平台抽验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培训项目职业（工种）分类合理。</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培训项目职业（工种）分类不够合理。</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strike/>
                <w:color w:val="000000"/>
                <w:szCs w:val="21"/>
              </w:rPr>
            </w:pPr>
            <w:r>
              <w:rPr>
                <w:rFonts w:hint="eastAsia" w:ascii="宋体" w:hAnsi="宋体" w:eastAsia="宋体" w:cs="宋体"/>
                <w:color w:val="000000"/>
                <w:szCs w:val="21"/>
              </w:rPr>
              <w:t>课程编排</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培训项目发布支持根据相关标准规范中要求的知识点和技能点进行课程内容编排。相关标准规范包括国家职业标准、专项职业能力考核规范、企业岗位规范等</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文件审阅平台抽验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机构上传课程时，按照相关标准规范编排课程大纲、目录结构等内容。</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strike/>
                <w:color w:val="000000"/>
                <w:szCs w:val="21"/>
                <w:lang w:eastAsia="zh-CN"/>
              </w:rPr>
            </w:pPr>
            <w:r>
              <w:rPr>
                <w:rFonts w:hint="eastAsia" w:ascii="宋体" w:hAnsi="宋体" w:eastAsia="宋体" w:cs="宋体"/>
                <w:color w:val="000000"/>
                <w:szCs w:val="21"/>
              </w:rPr>
              <w:t>机构上传课程时，课程内容未完全按照相关标准规范编排。</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Align w:val="center"/>
          </w:tcPr>
          <w:p>
            <w:pPr>
              <w:pStyle w:val="11"/>
              <w:tabs>
                <w:tab w:val="center" w:pos="337"/>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内容形式</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培训项目发布支持多种内容形式，包括但不限于视频、音频、图文、文档、自测、互动式课件、虚拟仿真等</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培训项目发布支持多种内容形式。</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培训项目发布支持的内容形式较为单一。</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培训过程（12分）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形式</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培训过程支持直播、录播、课件、在线研讨、互动交流等多种培训形式</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支持直播、录播、课件、在线研讨、互动交流等多种培训形式。</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支持的培训形式较为单一。</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组织形式</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培训过程支持学习者自主学习、模拟实操、测试、协作等多种培训组织形式</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支持自主学习、模拟实操、测试、协作等多种培训组织形式。</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支持的培训组织形式较为单一。</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应答服务</w:t>
            </w:r>
          </w:p>
        </w:tc>
        <w:tc>
          <w:tcPr>
            <w:tcW w:w="3000" w:type="dxa"/>
            <w:vAlign w:val="center"/>
          </w:tcPr>
          <w:p>
            <w:pPr>
              <w:pStyle w:val="11"/>
              <w:snapToGrid w:val="0"/>
              <w:ind w:firstLine="0" w:firstLineChars="0"/>
              <w:rPr>
                <w:rFonts w:hint="eastAsia" w:ascii="宋体" w:hAnsi="宋体" w:eastAsia="宋体" w:cs="宋体"/>
                <w:color w:val="000000"/>
                <w:szCs w:val="21"/>
              </w:rPr>
            </w:pPr>
            <w:bookmarkStart w:id="94" w:name="sys274039"/>
            <w:r>
              <w:rPr>
                <w:rFonts w:hint="eastAsia" w:ascii="宋体" w:hAnsi="宋体" w:eastAsia="宋体" w:cs="宋体"/>
                <w:color w:val="000000"/>
                <w:szCs w:val="21"/>
              </w:rPr>
              <w:t>培训过程支持电子邮件、即时通信、电话等多种形式向学习者推送培训安排及答疑支持</w:t>
            </w:r>
            <w:bookmarkEnd w:id="94"/>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向学习者推送培训安排及答疑支持的形式包括、电子邮件、即时通信、电话等。</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向学习者推送培训安排及答疑支持的形式较为单一。</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7"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质量与安全管理（13分）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学情监测</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平台具有人脸识别、即时互动、禁止同一账号同时多端口登录、禁止多页面非前台播放课程等质量管控功能，防止刷课、挂课、替课、刷考、替考等弄虚作假行为，确保培训过程真实、有效</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平台具有人脸识别、即时互动、禁止同一账号同时多端口登录、禁止多页面非前台播放课程等质量管控功能。</w:t>
            </w:r>
            <w:r>
              <w:rPr>
                <w:rFonts w:hint="eastAsia" w:ascii="宋体" w:hAnsi="宋体" w:eastAsia="宋体" w:cs="宋体"/>
                <w:color w:val="000000"/>
                <w:szCs w:val="21"/>
                <w:lang w:eastAsia="zh-CN"/>
              </w:rPr>
              <w:t>（3.1～5.0分）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平台具有人脸识别、禁止同一账号同时多端口登录等质量管控功能。</w:t>
            </w:r>
            <w:r>
              <w:rPr>
                <w:rFonts w:hint="eastAsia" w:ascii="宋体" w:hAnsi="宋体" w:eastAsia="宋体" w:cs="宋体"/>
                <w:color w:val="000000"/>
                <w:szCs w:val="21"/>
                <w:lang w:eastAsia="zh-CN"/>
              </w:rPr>
              <w:t>（1.0～3.0分）</w:t>
            </w:r>
          </w:p>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不具备相应功能。</w:t>
            </w:r>
            <w:r>
              <w:rPr>
                <w:rFonts w:hint="eastAsia" w:ascii="宋体" w:hAnsi="宋体" w:eastAsia="宋体" w:cs="宋体"/>
                <w:color w:val="000000"/>
                <w:szCs w:val="21"/>
                <w:lang w:eastAsia="zh-CN"/>
              </w:rPr>
              <w:t>（</w:t>
            </w:r>
            <w:r>
              <w:rPr>
                <w:rFonts w:hint="eastAsia" w:ascii="宋体" w:hAnsi="宋体" w:eastAsia="宋体" w:cs="宋体"/>
                <w:color w:val="000000"/>
                <w:szCs w:val="21"/>
              </w:rPr>
              <w:t>0分</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统计管理</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平台支持培训机构、企业用人单位对培训班级、学习者的考勤、学习、测试等数据进行记录、查询、统计分析，支持对培训项目数字资源的使用情况等进行统计分析</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平台支持培训机构、企业用人单位对培训班级、学习者的考勤、学习、测试等数据进行记录、查询、统计分析，并且支持对培训项目数字资源的使用情况等进行统计分析。</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平台基本支持培训机构、企业用人单位对培训班级、学习者的考勤、学习、测试等数据进行记录、查询、统计分析，或基本支持对培训项目数字资源的使用情况等进行统计分析。</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1" w:hRule="atLeast"/>
          <w:jc w:val="center"/>
        </w:trPr>
        <w:tc>
          <w:tcPr>
            <w:tcW w:w="817" w:type="dxa"/>
            <w:vMerge w:val="continue"/>
            <w:vAlign w:val="center"/>
          </w:tcPr>
          <w:p>
            <w:pPr>
              <w:adjustRightInd w:val="0"/>
              <w:snapToGrid w:val="0"/>
              <w:jc w:val="center"/>
              <w:rPr>
                <w:rFonts w:hint="eastAsia" w:ascii="宋体" w:hAnsi="宋体" w:eastAsia="宋体" w:cs="宋体"/>
                <w:color w:val="000000"/>
                <w:sz w:val="21"/>
                <w:szCs w:val="21"/>
              </w:rPr>
            </w:pPr>
          </w:p>
        </w:tc>
        <w:tc>
          <w:tcPr>
            <w:tcW w:w="810"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监管功能</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平台支持监管机构对培训机构、企业用人单位开展的培训项目数据进行查询、调取、统计分析</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平台检验</w:t>
            </w:r>
          </w:p>
        </w:tc>
        <w:tc>
          <w:tcPr>
            <w:tcW w:w="3003"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监管机构可通过平台对培训机构、企业用人单位开展的培训项目数据进行查询、调取、统计分析。</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监管机构可通过平台对培训机构、企业用人单位开展的部分培训项目数据进行查询、调取或统计分析。</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817"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学习服务（20分）</w:t>
            </w: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学习功能（12分）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过程</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记录</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平台支持对学习者学习过程进行记录，包括但不限于学习开始时间、学习时长、作业和测试</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平台检验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学习过程记录完整、进度可控。</w:t>
            </w:r>
            <w:r>
              <w:rPr>
                <w:rFonts w:hint="eastAsia" w:ascii="宋体" w:hAnsi="宋体" w:eastAsia="宋体" w:cs="宋体"/>
                <w:color w:val="000000"/>
                <w:sz w:val="21"/>
                <w:szCs w:val="21"/>
                <w:lang w:eastAsia="zh-CN"/>
              </w:rPr>
              <w:t>（3.1～4.0分）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学习过程记录不完整、进度不可控。</w:t>
            </w:r>
            <w:r>
              <w:rPr>
                <w:rFonts w:hint="eastAsia" w:ascii="宋体" w:hAnsi="宋体" w:eastAsia="宋体" w:cs="宋体"/>
                <w:color w:val="000000"/>
                <w:sz w:val="21"/>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评价</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记录</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平台支持对学习者进行过程评价和结果评价，并记录评价数据，包括但不限于测试的结果，时长，错题分布，测试行为规范的信息</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111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平台检验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学习过程评价以及结果评价记录完整。</w:t>
            </w:r>
            <w:r>
              <w:rPr>
                <w:rFonts w:hint="eastAsia" w:ascii="宋体" w:hAnsi="宋体" w:eastAsia="宋体" w:cs="宋体"/>
                <w:color w:val="000000"/>
                <w:sz w:val="21"/>
                <w:szCs w:val="21"/>
                <w:lang w:eastAsia="zh-CN"/>
              </w:rPr>
              <w:t>（3.1～4.0分）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有学习过程评价或结果评价记录。</w:t>
            </w:r>
            <w:r>
              <w:rPr>
                <w:rFonts w:hint="eastAsia" w:ascii="宋体" w:hAnsi="宋体" w:eastAsia="宋体" w:cs="宋体"/>
                <w:color w:val="000000"/>
                <w:sz w:val="21"/>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报告</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生成</w:t>
            </w:r>
          </w:p>
        </w:tc>
        <w:tc>
          <w:tcPr>
            <w:tcW w:w="3000" w:type="dxa"/>
            <w:vAlign w:val="center"/>
          </w:tcPr>
          <w:p>
            <w:pPr>
              <w:pStyle w:val="11"/>
              <w:tabs>
                <w:tab w:val="center" w:pos="709"/>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平台为学习者提供在平台学习活动中形成的学习记录，包括但不限于学习过程、学习结果</w:t>
            </w:r>
          </w:p>
        </w:tc>
        <w:tc>
          <w:tcPr>
            <w:tcW w:w="578" w:type="dxa"/>
            <w:vAlign w:val="center"/>
          </w:tcPr>
          <w:p>
            <w:pPr>
              <w:pStyle w:val="11"/>
              <w:tabs>
                <w:tab w:val="center" w:pos="709"/>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110" w:type="dxa"/>
            <w:vAlign w:val="center"/>
          </w:tcPr>
          <w:p>
            <w:pPr>
              <w:pStyle w:val="11"/>
              <w:tabs>
                <w:tab w:val="center" w:pos="709"/>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文件审阅平台抽验</w:t>
            </w:r>
          </w:p>
        </w:tc>
        <w:tc>
          <w:tcPr>
            <w:tcW w:w="3003" w:type="dxa"/>
            <w:vAlign w:val="center"/>
          </w:tcPr>
          <w:p>
            <w:pPr>
              <w:pStyle w:val="11"/>
              <w:tabs>
                <w:tab w:val="center" w:pos="709"/>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学习记录覆盖学习者的全部学习成果。</w:t>
            </w:r>
            <w:r>
              <w:rPr>
                <w:rFonts w:hint="eastAsia" w:ascii="宋体" w:hAnsi="宋体" w:eastAsia="宋体" w:cs="宋体"/>
                <w:color w:val="000000"/>
                <w:szCs w:val="21"/>
                <w:lang w:eastAsia="zh-CN"/>
              </w:rPr>
              <w:t>（3.1～4.0分）</w:t>
            </w:r>
          </w:p>
          <w:p>
            <w:pPr>
              <w:pStyle w:val="11"/>
              <w:tabs>
                <w:tab w:val="center" w:pos="709"/>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有学习者学习记录。</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学习支持（8分）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查看进度</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平台支持学习者查看学习进度，包括已完成课程、参与度等信息</w:t>
            </w:r>
          </w:p>
        </w:tc>
        <w:tc>
          <w:tcPr>
            <w:tcW w:w="578"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平台检验</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学习者可查看完整的学习进度。</w:t>
            </w:r>
            <w:r>
              <w:rPr>
                <w:rFonts w:hint="eastAsia" w:ascii="宋体" w:hAnsi="宋体" w:eastAsia="宋体" w:cs="宋体"/>
                <w:color w:val="000000"/>
                <w:sz w:val="21"/>
                <w:szCs w:val="21"/>
                <w:lang w:eastAsia="zh-CN"/>
              </w:rPr>
              <w:t>（2.1～3.0分）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学习者可查看学习进度。</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提供指南</w:t>
            </w:r>
          </w:p>
        </w:tc>
        <w:tc>
          <w:tcPr>
            <w:tcW w:w="300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平台为学习者提供所学习课程的基本信息和学习指南，方便学习者制定学习计划</w:t>
            </w:r>
          </w:p>
        </w:tc>
        <w:tc>
          <w:tcPr>
            <w:tcW w:w="578"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文件审阅平台抽验</w:t>
            </w:r>
          </w:p>
        </w:tc>
        <w:tc>
          <w:tcPr>
            <w:tcW w:w="3003"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为学习者提供详细的学习课程信息和学习指南。</w:t>
            </w:r>
            <w:r>
              <w:rPr>
                <w:rFonts w:hint="eastAsia" w:ascii="宋体" w:hAnsi="宋体" w:eastAsia="宋体" w:cs="宋体"/>
                <w:color w:val="000000"/>
                <w:sz w:val="21"/>
                <w:szCs w:val="21"/>
                <w:lang w:eastAsia="zh-CN"/>
              </w:rPr>
              <w:t>（1.1～2.0分）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有学习课程信息或学习指南。</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使用平台</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平台为学习者提供平台使用说明，指导学习者使用学习平台，及时解决学习活动与服务过程中的技术问题</w:t>
            </w:r>
          </w:p>
        </w:tc>
        <w:tc>
          <w:tcPr>
            <w:tcW w:w="578"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平台检验</w:t>
            </w:r>
          </w:p>
        </w:tc>
        <w:tc>
          <w:tcPr>
            <w:tcW w:w="3003"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为学习者提供详细的平台使用说明。</w:t>
            </w:r>
            <w:r>
              <w:rPr>
                <w:rFonts w:hint="eastAsia" w:ascii="宋体" w:hAnsi="宋体" w:eastAsia="宋体" w:cs="宋体"/>
                <w:color w:val="000000"/>
                <w:sz w:val="21"/>
                <w:szCs w:val="21"/>
                <w:lang w:eastAsia="zh-CN"/>
              </w:rPr>
              <w:t>（2.1～3.0分）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有平台使用说明。</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817"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运营管理（15分）</w:t>
            </w: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平台运维（5分）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300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平台根据服务对象的数量配备人数适宜、结构合理的运维团队，成员具备专业知识和技能</w:t>
            </w:r>
          </w:p>
        </w:tc>
        <w:tc>
          <w:tcPr>
            <w:tcW w:w="578"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w:t>
            </w:r>
          </w:p>
        </w:tc>
        <w:tc>
          <w:tcPr>
            <w:tcW w:w="3003"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平台运维团队岗位结构合理、人员数量及资质充分。</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平台运维团队岗位结构基本合理、人员数量及资质不够充分。</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3000"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运维服务团队及时发现和解决平台系统运行问题，降低故障发生的概率，确保业务的连续性</w:t>
            </w:r>
          </w:p>
        </w:tc>
        <w:tc>
          <w:tcPr>
            <w:tcW w:w="578"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平台运维制度、运维工作流程能保障平台的正常稳定运行。</w:t>
            </w:r>
            <w:r>
              <w:rPr>
                <w:rFonts w:hint="eastAsia" w:ascii="宋体" w:hAnsi="宋体" w:eastAsia="宋体" w:cs="宋体"/>
                <w:color w:val="000000"/>
                <w:sz w:val="21"/>
                <w:szCs w:val="21"/>
                <w:lang w:eastAsia="zh-CN"/>
              </w:rPr>
              <w:t>（1.1～2.0分）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平台运维制度、运维工作流程在保障平台的正常稳定运行方面不够充分。</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客服服务（5分）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3000"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平台根据服务对象的数量配备人数适宜、结构合理的客服团队，成员具备专业知识和技能</w:t>
            </w:r>
          </w:p>
        </w:tc>
        <w:tc>
          <w:tcPr>
            <w:tcW w:w="578"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11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w:t>
            </w:r>
          </w:p>
        </w:tc>
        <w:tc>
          <w:tcPr>
            <w:tcW w:w="3003"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平台客服团队岗位结构合理、人员数量及资质充分。</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平台客服团队岗位结构基本、人员数量及资质不够充分。</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3000"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平台提供电话、网络投诉渠道并保证渠道畅通，及时处理客户反馈问题，并建立沟通管理机制，明确反馈时限，按时答复、安排处理服务对象诉求</w:t>
            </w:r>
          </w:p>
        </w:tc>
        <w:tc>
          <w:tcPr>
            <w:tcW w:w="578"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11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文件审阅平台抽检</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平台客服制度、客服工作流程能保障平台的咨询、投诉、反馈问题得到及时妥善处理。</w:t>
            </w:r>
            <w:r>
              <w:rPr>
                <w:rFonts w:hint="eastAsia" w:ascii="宋体" w:hAnsi="宋体" w:eastAsia="宋体" w:cs="宋体"/>
                <w:color w:val="000000"/>
                <w:sz w:val="21"/>
                <w:szCs w:val="21"/>
                <w:lang w:eastAsia="zh-CN"/>
              </w:rPr>
              <w:t>（1.1～2.0分）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平台客服制度、客服工作流程在保障平台的咨询、投诉、反馈问题得到及时妥善处理方面不充分。</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平台管理（5分）</w:t>
            </w: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部门设置与制度</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平台运营机构内设部门组织结构科学、职责明确、人员配置合理，有完善可行的员工管理制度</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11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平台运营机构内设部门组织结构科学、人员数量及资质充分、平台管理制度健全、管理流程能保障平台运转正常、员工高效。</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平台运营机构内设部门组织结构不够科学、人员数量及资质不够充分，平台管理制度、管理流程在保障平台运转正常、员工高效方面不充分。</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1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监督机制</w:t>
            </w:r>
          </w:p>
        </w:tc>
        <w:tc>
          <w:tcPr>
            <w:tcW w:w="300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运营机构建立平台服务监督机制。设置服务公示版块，内容包括但不限于服务内容、服务依据、服务流程、服务要求、投诉渠道。实施内部监督和审核，同时接受外部监督，设置监督意见反馈表，会议审核记录等，根据监督和审核结果，实施纠正和预防措施</w:t>
            </w:r>
          </w:p>
        </w:tc>
        <w:tc>
          <w:tcPr>
            <w:tcW w:w="578"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11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w:t>
            </w:r>
          </w:p>
        </w:tc>
        <w:tc>
          <w:tcPr>
            <w:tcW w:w="3003"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平台服务监督机制有效。服务公示版块内容完备；内部监督和审核及外部监督落实到位。</w:t>
            </w:r>
            <w:r>
              <w:rPr>
                <w:rFonts w:hint="eastAsia" w:ascii="宋体" w:hAnsi="宋体" w:eastAsia="宋体" w:cs="宋体"/>
                <w:color w:val="000000"/>
                <w:sz w:val="21"/>
                <w:szCs w:val="21"/>
                <w:lang w:eastAsia="zh-CN"/>
              </w:rPr>
              <w:t>（1.1～2.0分）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平台服务监督机制运行效果一般，服务公示版块内容不够完备；内部监督和审核及外部监督落实不够到位。</w:t>
            </w:r>
            <w:r>
              <w:rPr>
                <w:rFonts w:hint="eastAsia" w:ascii="宋体" w:hAnsi="宋体" w:eastAsia="宋体" w:cs="宋体"/>
                <w:color w:val="000000"/>
                <w:sz w:val="21"/>
                <w:szCs w:val="21"/>
                <w:lang w:eastAsia="zh-CN"/>
              </w:rPr>
              <w:t>（0～1.0分）</w:t>
            </w:r>
          </w:p>
        </w:tc>
      </w:tr>
    </w:tbl>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textAlignment w:val="auto"/>
        <w:rPr>
          <w:rFonts w:hint="eastAsia" w:ascii="宋体" w:hAnsi="宋体" w:eastAsia="宋体" w:cs="宋体"/>
          <w:color w:val="000000"/>
        </w:rPr>
      </w:pPr>
    </w:p>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436" w:firstLineChars="200"/>
        <w:textAlignment w:val="auto"/>
        <w:rPr>
          <w:rFonts w:hint="eastAsia" w:ascii="宋体" w:hAnsi="宋体" w:eastAsia="宋体" w:cs="宋体"/>
          <w:color w:val="000000"/>
          <w:sz w:val="22"/>
          <w:szCs w:val="21"/>
        </w:rPr>
      </w:pPr>
      <w:r>
        <w:rPr>
          <w:rFonts w:hint="eastAsia" w:ascii="宋体" w:hAnsi="宋体" w:eastAsia="宋体" w:cs="宋体"/>
          <w:color w:val="000000"/>
          <w:sz w:val="22"/>
          <w:szCs w:val="21"/>
        </w:rPr>
        <w:t>说明：平台运营服务质量评估指标体系由三级指标及其内容要求构成。评估指标体系设有4项一级指标，分别为基本要求、培训管理、学习服务、运营管理，二级指标11项和三级指标31项。评估总分为100分。各地可根据实际情况，采用分数梯度的方法划分平台等级。各地开展平台遴选、评估时可参考以上评分规则，也可根据实际情况调整各指标分数权重。</w:t>
      </w:r>
    </w:p>
    <w:p>
      <w:pPr>
        <w:spacing w:line="596" w:lineRule="exact"/>
        <w:textAlignment w:val="top"/>
        <w:sectPr>
          <w:pgSz w:w="11906" w:h="16838"/>
          <w:pgMar w:top="2041" w:right="1418" w:bottom="1531" w:left="1588" w:header="851" w:footer="1361" w:gutter="0"/>
          <w:pgNumType w:fmt="decimal"/>
          <w:cols w:space="720" w:num="1"/>
          <w:titlePg/>
          <w:docGrid w:type="linesAndChars" w:linePitch="596" w:charSpace="-439"/>
        </w:sectPr>
      </w:pPr>
    </w:p>
    <w:p>
      <w:pPr>
        <w:autoSpaceDE w:val="0"/>
        <w:autoSpaceDN w:val="0"/>
        <w:ind w:firstLine="880" w:firstLineChars="200"/>
        <w:jc w:val="center"/>
        <w:rPr>
          <w:rFonts w:ascii="华文中宋" w:hAnsi="华文中宋" w:eastAsia="华文中宋" w:cs="华文中宋"/>
          <w:color w:val="000000"/>
          <w:sz w:val="44"/>
          <w:szCs w:val="44"/>
          <w:lang w:val="en-US" w:eastAsia="zh-CN" w:bidi="ar-SA"/>
        </w:rPr>
      </w:pPr>
    </w:p>
    <w:p>
      <w:pPr>
        <w:autoSpaceDE w:val="0"/>
        <w:autoSpaceDN w:val="0"/>
        <w:ind w:firstLine="0" w:firstLineChars="0"/>
        <w:jc w:val="both"/>
        <w:rPr>
          <w:rFonts w:ascii="华文中宋" w:hAnsi="华文中宋" w:eastAsia="华文中宋" w:cs="华文中宋"/>
          <w:color w:val="000000"/>
          <w:sz w:val="44"/>
          <w:szCs w:val="44"/>
          <w:lang w:val="en-US" w:eastAsia="zh-CN" w:bidi="ar-SA"/>
        </w:rPr>
      </w:pPr>
    </w:p>
    <w:p>
      <w:pPr>
        <w:autoSpaceDE w:val="0"/>
        <w:autoSpaceDN w:val="0"/>
        <w:ind w:firstLine="880" w:firstLineChars="200"/>
        <w:jc w:val="center"/>
        <w:rPr>
          <w:rFonts w:ascii="华文中宋" w:hAnsi="华文中宋" w:eastAsia="华文中宋" w:cs="华文中宋"/>
          <w:color w:val="000000"/>
          <w:sz w:val="44"/>
          <w:szCs w:val="44"/>
          <w:lang w:val="en-US" w:eastAsia="zh-CN" w:bidi="ar-SA"/>
        </w:rPr>
      </w:pPr>
    </w:p>
    <w:p>
      <w:pPr>
        <w:autoSpaceDE w:val="0"/>
        <w:autoSpaceDN w:val="0"/>
        <w:ind w:firstLine="0" w:firstLineChars="0"/>
        <w:jc w:val="center"/>
        <w:rPr>
          <w:rFonts w:ascii="华文中宋" w:hAnsi="华文中宋" w:eastAsia="华文中宋" w:cs="华文中宋"/>
          <w:color w:val="000000"/>
          <w:sz w:val="44"/>
          <w:szCs w:val="44"/>
          <w:lang w:val="en-US" w:eastAsia="zh-CN" w:bidi="ar-SA"/>
        </w:rPr>
      </w:pPr>
      <w:r>
        <w:rPr>
          <w:rFonts w:hint="eastAsia" w:ascii="华文中宋" w:hAnsi="华文中宋" w:eastAsia="华文中宋" w:cs="华文中宋"/>
          <w:color w:val="000000"/>
          <w:sz w:val="44"/>
          <w:szCs w:val="44"/>
          <w:lang w:val="en-US" w:eastAsia="zh-CN" w:bidi="ar-SA"/>
        </w:rPr>
        <w:t>职业技能线上培训数字资源质量规范</w:t>
      </w: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420" w:firstLineChars="200"/>
        <w:jc w:val="both"/>
        <w:rPr>
          <w:rFonts w:ascii="宋体" w:hAnsi="Times New Roman" w:eastAsia="宋体" w:cs="Times New Roman"/>
          <w:color w:val="000000"/>
          <w:sz w:val="21"/>
          <w:lang w:val="en-US" w:eastAsia="zh-CN" w:bidi="ar-SA"/>
        </w:rPr>
      </w:pPr>
    </w:p>
    <w:p>
      <w:pPr>
        <w:autoSpaceDE w:val="0"/>
        <w:autoSpaceDN w:val="0"/>
        <w:ind w:firstLine="0" w:firstLineChars="0"/>
        <w:jc w:val="center"/>
        <w:rPr>
          <w:rFonts w:hint="eastAsia"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2024年</w:t>
      </w:r>
    </w:p>
    <w:p>
      <w:pPr>
        <w:sectPr>
          <w:footerReference r:id="rId8" w:type="first"/>
          <w:headerReference r:id="rId6" w:type="default"/>
          <w:footerReference r:id="rId7" w:type="default"/>
          <w:pgSz w:w="11906" w:h="16838"/>
          <w:pgMar w:top="1440" w:right="1800" w:bottom="1440" w:left="1800" w:header="1134" w:footer="1417" w:gutter="0"/>
          <w:pgNumType w:fmt="decimal"/>
          <w:cols w:space="720" w:num="1"/>
          <w:titlePg/>
          <w:docGrid w:type="lines" w:linePitch="326" w:charSpace="0"/>
        </w:sectPr>
      </w:pPr>
    </w:p>
    <w:p>
      <w:pPr>
        <w:keepNext/>
        <w:pageBreakBefore/>
        <w:widowControl w:val="0"/>
        <w:shd w:val="clear" w:color="FFFFFF" w:fill="FFFFFF"/>
        <w:spacing w:before="640" w:after="560" w:line="460" w:lineRule="exact"/>
        <w:jc w:val="center"/>
        <w:outlineLvl w:val="0"/>
        <w:rPr>
          <w:rFonts w:ascii="黑体" w:hAnsi="Times New Roman" w:eastAsia="宋体" w:cs="Times New Roman"/>
          <w:color w:val="000000"/>
          <w:kern w:val="2"/>
          <w:sz w:val="32"/>
          <w:szCs w:val="20"/>
          <w:lang w:val="en-US" w:eastAsia="zh-CN" w:bidi="ar-SA"/>
        </w:rPr>
      </w:pPr>
      <w:r>
        <w:rPr>
          <w:rFonts w:hint="eastAsia" w:ascii="黑体" w:hAnsi="Times New Roman" w:eastAsia="黑体" w:cs="Times New Roman"/>
          <w:color w:val="000000"/>
          <w:kern w:val="2"/>
          <w:sz w:val="32"/>
          <w:szCs w:val="20"/>
          <w:lang w:val="en-US" w:eastAsia="zh-CN" w:bidi="ar-SA"/>
        </w:rPr>
        <w:t>目</w:t>
      </w:r>
      <w:r>
        <w:rPr>
          <w:rFonts w:hint="eastAsia" w:ascii="MS Mincho" w:hAnsi="MS Mincho" w:eastAsia="宋体" w:cs="MS Mincho"/>
          <w:color w:val="000000"/>
          <w:kern w:val="2"/>
          <w:sz w:val="32"/>
          <w:szCs w:val="20"/>
          <w:lang w:val="en-US" w:eastAsia="zh-CN" w:bidi="ar-SA"/>
        </w:rPr>
        <w:t xml:space="preserve">  </w:t>
      </w:r>
      <w:r>
        <w:rPr>
          <w:rFonts w:hint="eastAsia" w:ascii="黑体" w:hAnsi="黑体" w:eastAsia="黑体" w:cs="MS Mincho"/>
          <w:color w:val="000000"/>
          <w:kern w:val="2"/>
          <w:sz w:val="32"/>
          <w:szCs w:val="20"/>
          <w:lang w:val="en-US" w:eastAsia="zh-CN" w:bidi="ar-SA"/>
        </w:rPr>
        <w:t>录</w:t>
      </w:r>
    </w:p>
    <w:p>
      <w:pPr>
        <w:pStyle w:val="4"/>
        <w:tabs>
          <w:tab w:val="right" w:leader="dot" w:pos="8296"/>
        </w:tabs>
        <w:rPr>
          <w:rFonts w:hint="eastAsia" w:ascii="仿宋_GB2312" w:hAnsi="仿宋_GB2312" w:eastAsia="仿宋_GB2312" w:cs="仿宋_GB2312"/>
          <w:color w:val="000000"/>
          <w:kern w:val="2"/>
          <w:sz w:val="28"/>
          <w:szCs w:val="28"/>
        </w:rPr>
      </w:pPr>
      <w:r>
        <w:rPr>
          <w:rFonts w:ascii="Times New Roman" w:hAnsi="Times New Roman" w:cs="Times New Roman"/>
          <w:color w:val="000000"/>
          <w:sz w:val="21"/>
          <w:szCs w:val="21"/>
        </w:rPr>
        <w:fldChar w:fldCharType="begin"/>
      </w:r>
      <w:r>
        <w:rPr>
          <w:rFonts w:ascii="Times New Roman" w:hAnsi="Times New Roman" w:cs="Times New Roman"/>
          <w:color w:val="000000"/>
          <w:sz w:val="21"/>
          <w:szCs w:val="21"/>
        </w:rPr>
        <w:instrText xml:space="preserve"> TOC \h \z \t "前言、引言标题,1,参考文献、索引标题,1,章标题,1,参考文献,1,附录标识,1,一级条标题,3" </w:instrText>
      </w:r>
      <w:r>
        <w:rPr>
          <w:rFonts w:ascii="Times New Roman" w:hAnsi="Times New Roman" w:cs="Times New Roman"/>
          <w:color w:val="000000"/>
          <w:sz w:val="21"/>
          <w:szCs w:val="21"/>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"_Toc152595530"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1适用范围</w:t>
      </w:r>
      <w:r>
        <w:rPr>
          <w:rFonts w:hint="eastAsia" w:ascii="仿宋_GB2312" w:hAnsi="仿宋_GB2312" w:eastAsia="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"_Toc152595531"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2规范性引用文件</w:t>
      </w:r>
      <w:r>
        <w:rPr>
          <w:rFonts w:hint="eastAsia" w:ascii="仿宋_GB2312" w:hAnsi="仿宋_GB2312" w:eastAsia="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"_Toc152595532"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3资源关键要素及要求</w:t>
      </w:r>
      <w:r>
        <w:rPr>
          <w:rFonts w:hint="eastAsia" w:ascii="仿宋_GB2312" w:hAnsi="仿宋_GB2312" w:eastAsia="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"_Toc152595533"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3.1资源目标</w:t>
      </w:r>
      <w:r>
        <w:rPr>
          <w:rFonts w:hint="eastAsia" w:ascii="仿宋_GB2312" w:hAnsi="仿宋_GB2312" w:eastAsia="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"_Toc152595534"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3.2资源构成</w:t>
      </w:r>
      <w:r>
        <w:rPr>
          <w:rFonts w:hint="eastAsia" w:ascii="仿宋_GB2312" w:hAnsi="仿宋_GB2312" w:eastAsia="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"_Toc152595535"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3.3资源内容</w:t>
      </w:r>
      <w:r>
        <w:rPr>
          <w:rFonts w:hint="eastAsia" w:ascii="仿宋_GB2312" w:hAnsi="仿宋_GB2312" w:eastAsia="仿宋_GB2312" w:cs="仿宋_GB2312"/>
          <w:color w:val="000000"/>
          <w:sz w:val="28"/>
          <w:szCs w:val="28"/>
        </w:rPr>
        <w:fldChar w:fldCharType="end"/>
      </w:r>
    </w:p>
    <w:p>
      <w:pPr>
        <w:pStyle w:val="3"/>
        <w:tabs>
          <w:tab w:val="right" w:leader="dot" w:pos="8296"/>
        </w:tabs>
        <w:ind w:left="960"/>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"_Toc152595536"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3.4服务团队</w:t>
      </w:r>
      <w:r>
        <w:rPr>
          <w:rFonts w:hint="eastAsia" w:ascii="仿宋_GB2312" w:hAnsi="仿宋_GB2312" w:eastAsia="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"_Toc152595537"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4资源类别及分类规则</w:t>
      </w:r>
      <w:r>
        <w:rPr>
          <w:rFonts w:hint="eastAsia" w:ascii="仿宋_GB2312" w:hAnsi="仿宋_GB2312" w:eastAsia="仿宋_GB2312" w:cs="仿宋_GB2312"/>
          <w:color w:val="000000"/>
          <w:sz w:val="28"/>
          <w:szCs w:val="28"/>
        </w:rPr>
        <w:fldChar w:fldCharType="end"/>
      </w:r>
    </w:p>
    <w:p>
      <w:pPr>
        <w:pStyle w:val="4"/>
        <w:tabs>
          <w:tab w:val="right" w:leader="dot" w:pos="8296"/>
        </w:tabs>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"_Toc152595538"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color w:val="000000"/>
          <w:sz w:val="28"/>
          <w:szCs w:val="28"/>
        </w:rPr>
        <w:t>附件</w:t>
      </w:r>
      <w:r>
        <w:rPr>
          <w:rStyle w:val="7"/>
          <w:rFonts w:hint="eastAsia" w:ascii="仿宋_GB2312" w:hAnsi="仿宋_GB2312" w:eastAsia="仿宋_GB2312" w:cs="仿宋_GB2312"/>
          <w:color w:val="000000"/>
          <w:sz w:val="28"/>
          <w:szCs w:val="28"/>
          <w:lang w:eastAsia="zh-CN"/>
        </w:rPr>
        <w:t>：</w:t>
      </w:r>
      <w:r>
        <w:rPr>
          <w:rStyle w:val="7"/>
          <w:rFonts w:hint="eastAsia" w:ascii="仿宋_GB2312" w:hAnsi="仿宋_GB2312" w:eastAsia="仿宋_GB2312" w:cs="仿宋_GB2312"/>
          <w:color w:val="000000"/>
          <w:sz w:val="28"/>
          <w:szCs w:val="28"/>
        </w:rPr>
        <w:t>职业技能线上培训数字资源质量评估表</w:t>
      </w:r>
      <w:r>
        <w:rPr>
          <w:rStyle w:val="7"/>
          <w:rFonts w:hint="eastAsia" w:ascii="仿宋_GB2312" w:hAnsi="仿宋_GB2312" w:eastAsia="仿宋_GB2312" w:cs="仿宋_GB2312"/>
          <w:color w:val="000000"/>
          <w:sz w:val="28"/>
          <w:szCs w:val="28"/>
          <w:lang w:eastAsia="zh-CN"/>
        </w:rPr>
        <w:t>（</w:t>
      </w:r>
      <w:r>
        <w:rPr>
          <w:rStyle w:val="7"/>
          <w:rFonts w:hint="eastAsia" w:ascii="仿宋_GB2312" w:hAnsi="仿宋_GB2312" w:eastAsia="仿宋_GB2312" w:cs="仿宋_GB2312"/>
          <w:color w:val="000000"/>
          <w:sz w:val="28"/>
          <w:szCs w:val="28"/>
          <w:lang w:val="en-US" w:eastAsia="zh-CN"/>
        </w:rPr>
        <w:t>参考</w:t>
      </w:r>
      <w:r>
        <w:rPr>
          <w:rStyle w:val="7"/>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fldChar w:fldCharType="end"/>
      </w:r>
    </w:p>
    <w:p>
      <w:pPr>
        <w:autoSpaceDE w:val="0"/>
        <w:autoSpaceDN w:val="0"/>
        <w:ind w:firstLine="0" w:firstLineChars="0"/>
        <w:jc w:val="left"/>
        <w:rPr>
          <w:rFonts w:ascii="宋体"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fldChar w:fldCharType="end"/>
      </w:r>
    </w:p>
    <w:p>
      <w:pPr>
        <w:tabs>
          <w:tab w:val="center" w:pos="4153"/>
        </w:tabs>
        <w:rPr>
          <w:color w:val="000000"/>
        </w:rPr>
        <w:sectPr>
          <w:headerReference r:id="rId9" w:type="default"/>
          <w:footerReference r:id="rId10" w:type="default"/>
          <w:footerReference r:id="rId11" w:type="even"/>
          <w:pgSz w:w="11906" w:h="16838"/>
          <w:pgMar w:top="1440" w:right="1800" w:bottom="1440" w:left="1800" w:header="1134" w:footer="964" w:gutter="0"/>
          <w:pgNumType w:fmt="decimal"/>
          <w:cols w:space="720" w:num="1"/>
          <w:formProt w:val="0"/>
          <w:titlePg/>
          <w:docGrid w:type="lines" w:linePitch="326" w:charSpace="0"/>
        </w:sectPr>
      </w:pPr>
      <w:r>
        <w:rPr>
          <w:rFonts w:ascii="Times New Roman" w:hAnsi="Times New Roman" w:cs="Times New Roman"/>
          <w:color w:val="000000"/>
        </w:rPr>
        <w:tab/>
      </w:r>
    </w:p>
    <w:p>
      <w:pPr>
        <w:keepNext/>
        <w:keepLines w:val="0"/>
        <w:pageBreakBefore/>
        <w:widowControl w:val="0"/>
        <w:shd w:val="clear" w:color="FFFFFF" w:fill="FFFFFF"/>
        <w:kinsoku/>
        <w:wordWrap/>
        <w:overflowPunct/>
        <w:topLinePunct w:val="0"/>
        <w:bidi w:val="0"/>
        <w:adjustRightInd/>
        <w:snapToGrid w:val="0"/>
        <w:spacing w:before="0" w:after="560" w:line="560" w:lineRule="exact"/>
        <w:jc w:val="center"/>
        <w:outlineLvl w:val="0"/>
        <w:rPr>
          <w:rFonts w:hint="eastAsia" w:ascii="黑体" w:hAnsi="黑体" w:eastAsia="黑体" w:cs="黑体"/>
          <w:color w:val="000000"/>
          <w:kern w:val="2"/>
          <w:sz w:val="32"/>
          <w:szCs w:val="20"/>
          <w:lang w:val="en-US" w:eastAsia="zh-CN" w:bidi="ar-SA"/>
        </w:rPr>
      </w:pPr>
      <w:r>
        <w:rPr>
          <w:rFonts w:hint="eastAsia" w:ascii="黑体" w:hAnsi="黑体" w:eastAsia="黑体" w:cs="黑体"/>
          <w:color w:val="000000"/>
          <w:kern w:val="2"/>
          <w:sz w:val="32"/>
          <w:szCs w:val="20"/>
          <w:lang w:val="en-US" w:eastAsia="zh-CN" w:bidi="ar-SA"/>
        </w:rPr>
        <w:t>职业技能线上培训数字资源质量规范</w:t>
      </w:r>
    </w:p>
    <w:p>
      <w:pPr>
        <w:keepLines w:val="0"/>
        <w:numPr>
          <w:ilvl w:val="0"/>
          <w:numId w:val="0"/>
        </w:numPr>
        <w:kinsoku/>
        <w:wordWrap/>
        <w:overflowPunct/>
        <w:topLinePunct w:val="0"/>
        <w:bidi w:val="0"/>
        <w:snapToGrid/>
        <w:spacing w:beforeLines="0" w:afterLines="0" w:line="560" w:lineRule="exact"/>
        <w:jc w:val="both"/>
        <w:textAlignment w:val="auto"/>
        <w:outlineLvl w:val="1"/>
        <w:rPr>
          <w:rFonts w:hint="eastAsia" w:ascii="黑体" w:hAnsi="黑体" w:eastAsia="黑体" w:cs="黑体"/>
          <w:color w:val="000000"/>
          <w:sz w:val="28"/>
          <w:szCs w:val="28"/>
          <w:lang w:val="en-US" w:eastAsia="zh-CN" w:bidi="ar-SA"/>
        </w:rPr>
      </w:pPr>
      <w:bookmarkStart w:id="95" w:name="_Toc152595530"/>
      <w:r>
        <w:rPr>
          <w:rFonts w:hint="eastAsia" w:ascii="黑体" w:hAnsi="黑体" w:eastAsia="黑体" w:cs="黑体"/>
          <w:color w:val="000000"/>
          <w:sz w:val="28"/>
          <w:szCs w:val="28"/>
          <w:lang w:val="en-US" w:eastAsia="zh-CN" w:bidi="ar-SA"/>
        </w:rPr>
        <w:t>1适用范围</w:t>
      </w:r>
      <w:bookmarkEnd w:id="95"/>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bCs/>
          <w:color w:val="000000"/>
          <w:sz w:val="28"/>
          <w:szCs w:val="28"/>
          <w:lang w:val="en-US" w:eastAsia="zh-CN" w:bidi="ar-SA"/>
        </w:rPr>
      </w:pPr>
      <w:r>
        <w:rPr>
          <w:rFonts w:hint="eastAsia" w:ascii="仿宋_GB2312" w:hAnsi="仿宋_GB2312" w:eastAsia="仿宋_GB2312" w:cs="仿宋_GB2312"/>
          <w:bCs/>
          <w:color w:val="000000"/>
          <w:sz w:val="28"/>
          <w:szCs w:val="28"/>
          <w:lang w:val="en-US" w:eastAsia="zh-CN" w:bidi="ar-SA"/>
        </w:rPr>
        <w:t>本规范给出了职业技能线上培训数字资源（以下简称“资源”）建设与服务过程中的</w:t>
      </w:r>
    </w:p>
    <w:p>
      <w:pPr>
        <w:keepLines w:val="0"/>
        <w:kinsoku/>
        <w:wordWrap/>
        <w:overflowPunct/>
        <w:topLinePunct w:val="0"/>
        <w:autoSpaceDE w:val="0"/>
        <w:autoSpaceDN w:val="0"/>
        <w:bidi w:val="0"/>
        <w:snapToGrid/>
        <w:spacing w:line="560" w:lineRule="exact"/>
        <w:ind w:firstLine="0" w:firstLineChars="0"/>
        <w:jc w:val="both"/>
        <w:textAlignment w:val="auto"/>
        <w:rPr>
          <w:rFonts w:hint="eastAsia" w:ascii="仿宋_GB2312" w:hAnsi="仿宋_GB2312" w:eastAsia="仿宋_GB2312" w:cs="仿宋_GB2312"/>
          <w:bCs/>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资源目标、资源构成、资源内容、服务团队</w:t>
      </w:r>
      <w:r>
        <w:rPr>
          <w:rFonts w:hint="eastAsia" w:ascii="仿宋_GB2312" w:hAnsi="仿宋_GB2312" w:eastAsia="仿宋_GB2312" w:cs="仿宋_GB2312"/>
          <w:bCs/>
          <w:color w:val="000000"/>
          <w:sz w:val="28"/>
          <w:szCs w:val="28"/>
          <w:lang w:val="en-US" w:eastAsia="zh-CN" w:bidi="ar-SA"/>
        </w:rPr>
        <w:t>方面的要求。</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bCs/>
          <w:color w:val="000000"/>
          <w:sz w:val="28"/>
          <w:szCs w:val="28"/>
          <w:lang w:val="en-US" w:eastAsia="zh-CN" w:bidi="ar-SA"/>
        </w:rPr>
      </w:pPr>
      <w:r>
        <w:rPr>
          <w:rFonts w:hint="eastAsia" w:ascii="仿宋_GB2312" w:hAnsi="仿宋_GB2312" w:eastAsia="仿宋_GB2312" w:cs="仿宋_GB2312"/>
          <w:bCs/>
          <w:color w:val="000000"/>
          <w:sz w:val="28"/>
          <w:szCs w:val="28"/>
          <w:lang w:val="en-US" w:eastAsia="zh-CN" w:bidi="ar-SA"/>
        </w:rPr>
        <w:t>本规范适用于职业技能线上培训数字资源的遴选</w:t>
      </w:r>
      <w:r>
        <w:rPr>
          <w:rFonts w:hint="eastAsia" w:ascii="仿宋_GB2312" w:hAnsi="仿宋_GB2312" w:eastAsia="仿宋_GB2312" w:cs="仿宋_GB2312"/>
          <w:color w:val="000000"/>
          <w:sz w:val="28"/>
          <w:szCs w:val="28"/>
          <w:lang w:val="en-US" w:eastAsia="zh-CN" w:bidi="ar-SA"/>
        </w:rPr>
        <w:t>和分类分级评价。</w:t>
      </w:r>
    </w:p>
    <w:p>
      <w:pPr>
        <w:keepLines w:val="0"/>
        <w:numPr>
          <w:ilvl w:val="0"/>
          <w:numId w:val="0"/>
        </w:numPr>
        <w:kinsoku/>
        <w:wordWrap/>
        <w:overflowPunct/>
        <w:topLinePunct w:val="0"/>
        <w:bidi w:val="0"/>
        <w:snapToGrid/>
        <w:spacing w:beforeLines="0" w:afterLines="0" w:line="560" w:lineRule="exact"/>
        <w:jc w:val="both"/>
        <w:textAlignment w:val="auto"/>
        <w:outlineLvl w:val="1"/>
        <w:rPr>
          <w:rFonts w:hint="eastAsia" w:ascii="黑体" w:hAnsi="黑体" w:eastAsia="黑体" w:cs="黑体"/>
          <w:color w:val="000000"/>
          <w:sz w:val="28"/>
          <w:szCs w:val="28"/>
          <w:lang w:val="en-US" w:eastAsia="zh-CN" w:bidi="ar-SA"/>
        </w:rPr>
      </w:pPr>
      <w:bookmarkStart w:id="96" w:name="_Toc152595531"/>
      <w:r>
        <w:rPr>
          <w:rFonts w:hint="eastAsia" w:ascii="黑体" w:hAnsi="黑体" w:eastAsia="黑体" w:cs="黑体"/>
          <w:color w:val="000000"/>
          <w:sz w:val="28"/>
          <w:szCs w:val="28"/>
          <w:lang w:val="en-US" w:eastAsia="zh-CN" w:bidi="ar-SA"/>
        </w:rPr>
        <w:t>2规范性引用文件</w:t>
      </w:r>
      <w:bookmarkEnd w:id="96"/>
      <w:bookmarkStart w:id="97" w:name="pindex41"/>
      <w:bookmarkEnd w:id="97"/>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下列文件对于本文件的应用是必不可少的。凡是注日期的引用文件，仅所注日期的版本适用于本文件。凡是不注日期的引用文件，其最新版本适用于本文件。</w:t>
      </w:r>
    </w:p>
    <w:p>
      <w:pPr>
        <w:keepLines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560" w:lineRule="exact"/>
        <w:ind w:firstLine="561" w:firstLineChars="202"/>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GB/T38377—2019 新闻出版 知识服务 知识资源建设与服务基础术语</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GB/T24620—2009 服务标准制定导则 考虑消费者需求</w:t>
      </w:r>
    </w:p>
    <w:p>
      <w:pPr>
        <w:keepLines w:val="0"/>
        <w:numPr>
          <w:ilvl w:val="0"/>
          <w:numId w:val="0"/>
        </w:numPr>
        <w:kinsoku/>
        <w:wordWrap/>
        <w:overflowPunct/>
        <w:topLinePunct w:val="0"/>
        <w:bidi w:val="0"/>
        <w:snapToGrid/>
        <w:spacing w:beforeLines="0" w:afterLines="0" w:line="560" w:lineRule="exact"/>
        <w:jc w:val="both"/>
        <w:textAlignment w:val="auto"/>
        <w:outlineLvl w:val="1"/>
        <w:rPr>
          <w:rFonts w:hint="eastAsia" w:ascii="黑体" w:hAnsi="黑体" w:eastAsia="黑体" w:cs="黑体"/>
          <w:color w:val="000000"/>
          <w:sz w:val="28"/>
          <w:szCs w:val="28"/>
          <w:lang w:val="en-US" w:eastAsia="zh-CN" w:bidi="ar-SA"/>
        </w:rPr>
      </w:pPr>
      <w:bookmarkStart w:id="98" w:name="_Toc152595532"/>
      <w:r>
        <w:rPr>
          <w:rFonts w:hint="eastAsia" w:ascii="黑体" w:hAnsi="黑体" w:eastAsia="黑体" w:cs="黑体"/>
          <w:color w:val="000000"/>
          <w:sz w:val="28"/>
          <w:szCs w:val="28"/>
          <w:lang w:val="en-US" w:eastAsia="zh-CN" w:bidi="ar-SA"/>
        </w:rPr>
        <w:t>3资源关键要素及要求</w:t>
      </w:r>
      <w:bookmarkEnd w:id="98"/>
    </w:p>
    <w:p>
      <w:pPr>
        <w:keepLines w:val="0"/>
        <w:numPr>
          <w:ilvl w:val="1"/>
          <w:numId w:val="0"/>
        </w:numPr>
        <w:kinsoku/>
        <w:wordWrap/>
        <w:overflowPunct/>
        <w:topLinePunct w:val="0"/>
        <w:bidi w:val="0"/>
        <w:snapToGrid/>
        <w:spacing w:beforeLines="0" w:afterLines="0" w:line="560" w:lineRule="exact"/>
        <w:jc w:val="both"/>
        <w:textAlignment w:val="auto"/>
        <w:outlineLvl w:val="2"/>
        <w:rPr>
          <w:rFonts w:hint="eastAsia" w:ascii="黑体" w:hAnsi="黑体" w:eastAsia="黑体" w:cs="黑体"/>
          <w:color w:val="000000"/>
          <w:sz w:val="28"/>
          <w:szCs w:val="28"/>
          <w:lang w:val="en-US" w:eastAsia="zh-CN" w:bidi="ar-SA"/>
        </w:rPr>
      </w:pPr>
      <w:bookmarkStart w:id="99" w:name="_Toc152595533"/>
      <w:r>
        <w:rPr>
          <w:rFonts w:hint="eastAsia" w:ascii="黑体" w:hAnsi="黑体" w:eastAsia="黑体" w:cs="黑体"/>
          <w:color w:val="000000"/>
          <w:sz w:val="28"/>
          <w:szCs w:val="28"/>
          <w:lang w:val="en-US" w:eastAsia="zh-CN" w:bidi="ar-SA"/>
        </w:rPr>
        <w:t>3.1资源目标</w:t>
      </w:r>
      <w:bookmarkEnd w:id="99"/>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3.1.1适用对象</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资源适用对象根据不同学习者的学习需求进行分类，对象包括但不限于：在校生、企业职工、退役军人、高校毕业生、农村转移劳动力、失业人员。</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对学习者学习此资源需要具备的前置条件及要求进行说明。</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3.1.2资源分类</w:t>
      </w:r>
      <w:bookmarkStart w:id="100" w:name="pindex50"/>
      <w:bookmarkEnd w:id="100"/>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资源按照培训适用的领域进行分类，分类包括但不限于：通用素质类、职业技能类、专项职业能力类、创新创业类。</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3.1.3适用标准</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资源开发符合相关标准规范的要求，标准规范包括但不限于：国家职业标准、专项职业能力考核规范、企业岗位规范。</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3.1.4资源应用</w:t>
      </w:r>
      <w:bookmarkStart w:id="101" w:name="pindex54"/>
      <w:bookmarkEnd w:id="101"/>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资源按照标准规范中知识点和技能点的要求组织开发建设，支持面向不同学习者灵活组织培训课程。</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w:t>
      </w:r>
      <w:r>
        <w:rPr>
          <w:rFonts w:hint="eastAsia" w:ascii="仿宋_GB2312" w:hAnsi="仿宋_GB2312" w:eastAsia="仿宋_GB2312" w:cs="仿宋_GB2312"/>
          <w:color w:val="333333"/>
          <w:sz w:val="28"/>
          <w:szCs w:val="28"/>
          <w:shd w:val="clear" w:color="auto" w:fill="FFFFFF"/>
          <w:lang w:val="en-US" w:eastAsia="zh-CN" w:bidi="ar-SA"/>
        </w:rPr>
        <w:t>采用通用格式与标准，具有兼容性，保证学习者能够使用主流浏览器与通用播放软件进行学习。</w:t>
      </w:r>
    </w:p>
    <w:p>
      <w:pPr>
        <w:keepLines w:val="0"/>
        <w:numPr>
          <w:ilvl w:val="1"/>
          <w:numId w:val="0"/>
        </w:numPr>
        <w:kinsoku/>
        <w:wordWrap/>
        <w:overflowPunct/>
        <w:topLinePunct w:val="0"/>
        <w:bidi w:val="0"/>
        <w:snapToGrid/>
        <w:spacing w:beforeLines="0" w:afterLines="0" w:line="560" w:lineRule="exact"/>
        <w:jc w:val="both"/>
        <w:textAlignment w:val="auto"/>
        <w:outlineLvl w:val="2"/>
        <w:rPr>
          <w:rFonts w:hint="eastAsia" w:ascii="黑体" w:hAnsi="黑体" w:eastAsia="黑体" w:cs="黑体"/>
          <w:color w:val="000000"/>
          <w:sz w:val="28"/>
          <w:szCs w:val="28"/>
          <w:lang w:val="en-US" w:eastAsia="zh-CN" w:bidi="ar-SA"/>
        </w:rPr>
      </w:pPr>
      <w:bookmarkStart w:id="102" w:name="_Toc152595534"/>
      <w:r>
        <w:rPr>
          <w:rFonts w:hint="eastAsia" w:ascii="黑体" w:hAnsi="黑体" w:eastAsia="黑体" w:cs="黑体"/>
          <w:color w:val="000000"/>
          <w:sz w:val="28"/>
          <w:szCs w:val="28"/>
          <w:lang w:val="en-US" w:eastAsia="zh-CN" w:bidi="ar-SA"/>
        </w:rPr>
        <w:t>3.2资源构成</w:t>
      </w:r>
      <w:bookmarkEnd w:id="102"/>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3.2.1课程</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课程类资源包括资源介绍、培训大纲、资源主体文件、培训指导说明等内容。</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资源介绍包括资源名称、总学时、适用学习对象及主要学习内容、培训项目特点、培训方式及组织形式等内容。</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培训大纲包括培训大纲说明、培训目标、培训对象、培训内容结构与教学建议、培训时长、培训评价等内容。</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资源主体文件包括文本、图形/图像、音频、视频、动画、3D、交互式课件、仿真模拟、虚拟现实、增强现实等多媒体文件。</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培训指导说明包括培训思路和方法、培训方式和素材应用、培训任务解析、培训建议、培训效果检测等，结合培训内容结构展开。</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3.2.2素材</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资源素材包括素材清单、素材文件等内容。</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素材清单对素材的类别、格式、数量、对应的培训大纲进行说明。</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素材文件的设计和开发针对培养相关职业（岗位）的能力所需的培训重点、难点选择适合的表现形式，形式包括但不限于：文本、图形/图像、音频、视频、动画。</w:t>
      </w:r>
    </w:p>
    <w:p>
      <w:pPr>
        <w:keepLines w:val="0"/>
        <w:numPr>
          <w:ilvl w:val="1"/>
          <w:numId w:val="0"/>
        </w:numPr>
        <w:kinsoku/>
        <w:wordWrap/>
        <w:overflowPunct/>
        <w:topLinePunct w:val="0"/>
        <w:bidi w:val="0"/>
        <w:snapToGrid/>
        <w:spacing w:beforeLines="0" w:afterLines="0" w:line="560" w:lineRule="exact"/>
        <w:jc w:val="both"/>
        <w:textAlignment w:val="auto"/>
        <w:outlineLvl w:val="2"/>
        <w:rPr>
          <w:rFonts w:hint="eastAsia" w:ascii="黑体" w:hAnsi="黑体" w:eastAsia="黑体" w:cs="黑体"/>
          <w:color w:val="000000"/>
          <w:sz w:val="28"/>
          <w:szCs w:val="28"/>
          <w:lang w:val="en-US" w:eastAsia="zh-CN" w:bidi="ar-SA"/>
        </w:rPr>
      </w:pPr>
      <w:bookmarkStart w:id="103" w:name="_Toc152595535"/>
      <w:r>
        <w:rPr>
          <w:rFonts w:hint="eastAsia" w:ascii="黑体" w:hAnsi="黑体" w:eastAsia="黑体" w:cs="黑体"/>
          <w:color w:val="000000"/>
          <w:sz w:val="28"/>
          <w:szCs w:val="28"/>
          <w:lang w:val="en-US" w:eastAsia="zh-CN" w:bidi="ar-SA"/>
        </w:rPr>
        <w:t>3.3资源内容</w:t>
      </w:r>
      <w:bookmarkEnd w:id="103"/>
      <w:bookmarkStart w:id="104" w:name="pindex68"/>
      <w:bookmarkEnd w:id="104"/>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3.3.1内容质量</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培训场景的设计与培训目标相匹配。除多媒体课堂讲授外，可利用软件操作录屏、实物操作录像、工作场景录像、交互式业务仿真、虚拟现实等实景实操类形式，为不同需求的培训对象，提供个性化的课程，促进培训目标的达成。</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资源教学环节为培训对象提供符合能力提升规律的教与学的安排，除回顾、导学、讲授等普通教学环节外，根据培训需求安排演示、操作示范、案例分析、提问、练习等引导类教学环节。</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参与资源录制的教师着装得体、精神饱满、态度认真、语音标准、语速得当、表达准确、节奏适度。</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资源内容符合国家职业标准、专项职业能力考核规范、企业岗位规范等要求，知识点、技能点与相应规范标准内容对应。</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bookmarkStart w:id="105" w:name="_Toc41921848"/>
      <w:r>
        <w:rPr>
          <w:rFonts w:hint="eastAsia" w:ascii="仿宋_GB2312" w:hAnsi="仿宋_GB2312" w:eastAsia="仿宋_GB2312" w:cs="仿宋_GB2312"/>
          <w:color w:val="000000"/>
          <w:sz w:val="28"/>
          <w:szCs w:val="28"/>
          <w:lang w:val="en-US" w:eastAsia="zh-CN" w:bidi="ar-SA"/>
        </w:rPr>
        <w:t>3.3.2内容安全</w:t>
      </w:r>
      <w:bookmarkStart w:id="106" w:name="pindex74"/>
      <w:bookmarkEnd w:id="106"/>
    </w:p>
    <w:bookmarkEnd w:id="105"/>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资源内容所使用的素材，如图片、视频、肖像、字体、配乐等资源需具有独立知识产权或版权方的授权使用证明，不得使用未授权的素材资源。</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资源内容具有严格的审校过程，资源中不得含有法律、行政法规和国家规定禁止的内容。</w:t>
      </w:r>
    </w:p>
    <w:p>
      <w:pPr>
        <w:keepLines w:val="0"/>
        <w:numPr>
          <w:ilvl w:val="1"/>
          <w:numId w:val="0"/>
        </w:numPr>
        <w:kinsoku/>
        <w:wordWrap/>
        <w:overflowPunct/>
        <w:topLinePunct w:val="0"/>
        <w:bidi w:val="0"/>
        <w:snapToGrid/>
        <w:spacing w:beforeLines="0" w:afterLines="0" w:line="560" w:lineRule="exact"/>
        <w:jc w:val="both"/>
        <w:textAlignment w:val="auto"/>
        <w:outlineLvl w:val="2"/>
        <w:rPr>
          <w:rFonts w:hint="eastAsia" w:ascii="黑体" w:hAnsi="黑体" w:eastAsia="黑体" w:cs="黑体"/>
          <w:color w:val="000000"/>
          <w:sz w:val="28"/>
          <w:szCs w:val="28"/>
          <w:lang w:val="en-US" w:eastAsia="zh-CN" w:bidi="ar-SA"/>
        </w:rPr>
      </w:pPr>
      <w:bookmarkStart w:id="107" w:name="_Toc152595536"/>
      <w:r>
        <w:rPr>
          <w:rFonts w:hint="eastAsia" w:ascii="黑体" w:hAnsi="黑体" w:eastAsia="黑体" w:cs="黑体"/>
          <w:color w:val="000000"/>
          <w:sz w:val="28"/>
          <w:szCs w:val="28"/>
          <w:lang w:val="en-US" w:eastAsia="zh-CN" w:bidi="ar-SA"/>
        </w:rPr>
        <w:t>3.4服务团队</w:t>
      </w:r>
      <w:bookmarkEnd w:id="107"/>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3.4.1开发团队</w:t>
      </w:r>
      <w:bookmarkStart w:id="108" w:name="pindex78"/>
      <w:bookmarkEnd w:id="108"/>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具有资源开发的管理与评价制度，以及与资源开发内容相适应的资源开发团队，团队成员结构合理、分工明确。</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建立资源评价反馈机制，包括学习者评价问卷、企业用人单位评价问卷、自我评价表等文档资源。常态化接受各方评价，评价形式包括学习者评价、企业评价、自我评价等。</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根据资源评价制定整改措施，进行优化和改进；注重服务对象的满意度和服务效能的提升，持续提高资源质量。</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3.4.2师资团队</w:t>
      </w:r>
      <w:bookmarkStart w:id="109" w:name="pindex82"/>
      <w:bookmarkEnd w:id="109"/>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建立师资管理机制，对师资资质及背景、工作职责分工、行为规范、考核评价等方面进行规范。</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具有师资队伍建设方案、师资管理规章制度、师资名单、师资资质档案、师资工作规范、师资工作安排表、师资工作记录、师资考核评价表等。</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根据资源建设规模及复杂程度，配备人数适宜、结构合理的师资团队。团队人员具有相关师资任职资格。</w:t>
      </w:r>
    </w:p>
    <w:p>
      <w:pPr>
        <w:keepLines w:val="0"/>
        <w:numPr>
          <w:ilvl w:val="2"/>
          <w:numId w:val="0"/>
        </w:numPr>
        <w:kinsoku/>
        <w:wordWrap/>
        <w:overflowPunct/>
        <w:topLinePunct w:val="0"/>
        <w:bidi w:val="0"/>
        <w:snapToGrid/>
        <w:spacing w:before="0" w:beforeLines="0" w:after="0" w:afterLines="0" w:line="560" w:lineRule="exact"/>
        <w:jc w:val="both"/>
        <w:textAlignment w:val="auto"/>
        <w:outlineLvl w:val="3"/>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3.4.3在线学习服务团队</w:t>
      </w:r>
      <w:bookmarkStart w:id="110" w:name="pindex86"/>
      <w:bookmarkEnd w:id="110"/>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资源的在线学习服务团队为培训对象使用资源提供学习咨询、问题解答、投诉反馈等服务。</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建立在线学习服务工作机制，对工作职责分工、行为要求、工作评价等方面进行规范。</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具有学习支持记录、学习支持岗位考核评价表等。</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根据培训对象的人数，配备人数适宜、结构合理的在线学习服务团队。在线学习服务团队人员具有在线学习服务师任职资格。</w:t>
      </w:r>
    </w:p>
    <w:p>
      <w:pPr>
        <w:keepLines w:val="0"/>
        <w:numPr>
          <w:ilvl w:val="0"/>
          <w:numId w:val="0"/>
        </w:numPr>
        <w:kinsoku/>
        <w:wordWrap/>
        <w:overflowPunct/>
        <w:topLinePunct w:val="0"/>
        <w:bidi w:val="0"/>
        <w:snapToGrid/>
        <w:spacing w:beforeLines="0" w:afterLines="0" w:line="560" w:lineRule="exact"/>
        <w:jc w:val="both"/>
        <w:textAlignment w:val="auto"/>
        <w:outlineLvl w:val="1"/>
        <w:rPr>
          <w:rFonts w:hint="eastAsia" w:ascii="黑体" w:hAnsi="黑体" w:eastAsia="黑体" w:cs="黑体"/>
          <w:color w:val="000000"/>
          <w:sz w:val="28"/>
          <w:szCs w:val="28"/>
          <w:lang w:val="en-US" w:eastAsia="zh-CN" w:bidi="ar-SA"/>
        </w:rPr>
      </w:pPr>
      <w:bookmarkStart w:id="111" w:name="_Toc152595537"/>
      <w:r>
        <w:rPr>
          <w:rFonts w:hint="eastAsia" w:ascii="黑体" w:hAnsi="黑体" w:eastAsia="黑体" w:cs="黑体"/>
          <w:color w:val="000000"/>
          <w:sz w:val="28"/>
          <w:szCs w:val="28"/>
          <w:lang w:val="en-US" w:eastAsia="zh-CN" w:bidi="ar-SA"/>
        </w:rPr>
        <w:t>4资源类别及分类规则</w:t>
      </w:r>
      <w:bookmarkEnd w:id="111"/>
      <w:bookmarkStart w:id="112" w:name="pindex91"/>
      <w:bookmarkEnd w:id="112"/>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职业技能线上培训数字资源按照资源构成可分为课程和素材。</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按照资源格式可以分为：文本类、图形/图像类、音频类、视频类、动画类、交互类、仿真模拟等类别。</w:t>
      </w:r>
    </w:p>
    <w:p>
      <w:pPr>
        <w:keepLines w:val="0"/>
        <w:kinsoku/>
        <w:wordWrap/>
        <w:overflowPunct/>
        <w:topLinePunct w:val="0"/>
        <w:autoSpaceDE w:val="0"/>
        <w:autoSpaceDN w:val="0"/>
        <w:bidi w:val="0"/>
        <w:snapToGrid/>
        <w:spacing w:line="560" w:lineRule="exact"/>
        <w:ind w:firstLine="556" w:firstLineChars="200"/>
        <w:jc w:val="both"/>
        <w:textAlignment w:val="auto"/>
        <w:rPr>
          <w:rFonts w:hint="eastAsia" w:ascii="仿宋_GB2312" w:hAnsi="仿宋_GB2312" w:eastAsia="仿宋_GB2312" w:cs="仿宋_GB2312"/>
          <w:color w:val="000000"/>
          <w:sz w:val="28"/>
          <w:szCs w:val="28"/>
          <w:lang w:val="en-US" w:eastAsia="zh-CN" w:bidi="ar-SA"/>
        </w:rPr>
      </w:pPr>
      <w:r>
        <w:rPr>
          <w:rFonts w:hint="eastAsia" w:ascii="仿宋_GB2312" w:hAnsi="仿宋_GB2312" w:eastAsia="仿宋_GB2312" w:cs="仿宋_GB2312"/>
          <w:color w:val="000000"/>
          <w:sz w:val="28"/>
          <w:szCs w:val="28"/>
          <w:lang w:val="en-US" w:eastAsia="zh-CN" w:bidi="ar-SA"/>
        </w:rPr>
        <w:t>按照培训适用的领域可分为：通用素质类、职业技能类、专项职业能力类、创新创业类资源。</w:t>
      </w:r>
    </w:p>
    <w:p>
      <w:pPr>
        <w:spacing w:line="560" w:lineRule="exact"/>
        <w:textAlignment w:val="auto"/>
        <w:sectPr>
          <w:pgSz w:w="11906" w:h="16838"/>
          <w:pgMar w:top="2098" w:right="1418" w:bottom="1588" w:left="1588" w:header="851" w:footer="1361" w:gutter="0"/>
          <w:pgNumType w:fmt="decimal"/>
          <w:cols w:space="720" w:num="1"/>
          <w:titlePg/>
          <w:docGrid w:type="linesAndChars" w:linePitch="596" w:charSpace="-439"/>
        </w:sectPr>
      </w:pPr>
      <w:r>
        <w:rPr>
          <w:rFonts w:hint="eastAsia" w:ascii="仿宋_GB2312" w:hAnsi="仿宋_GB2312" w:eastAsia="仿宋_GB2312" w:cs="仿宋_GB2312"/>
          <w:color w:val="000000"/>
          <w:sz w:val="28"/>
          <w:szCs w:val="28"/>
          <w:lang w:val="en-US" w:eastAsia="zh-CN" w:bidi="ar-SA"/>
        </w:rPr>
        <w:t>按照培训项目的内容可根据《中华人民共和国职业分类大典》（2022年版）根据职业工种进行分类。</w:t>
      </w:r>
    </w:p>
    <w:p>
      <w:pPr>
        <w:pStyle w:val="13"/>
        <w:keepNext w:val="0"/>
        <w:keepLines w:val="0"/>
        <w:pageBreakBefore w:val="0"/>
        <w:widowControl/>
        <w:numPr>
          <w:ilvl w:val="0"/>
          <w:numId w:val="0"/>
        </w:numPr>
        <w:kinsoku/>
        <w:wordWrap/>
        <w:overflowPunct/>
        <w:topLinePunct w:val="0"/>
        <w:autoSpaceDE/>
        <w:autoSpaceDN/>
        <w:bidi w:val="0"/>
        <w:adjustRightInd/>
        <w:snapToGrid/>
        <w:spacing w:beforeLines="0" w:afterLines="0"/>
        <w:textAlignment w:val="auto"/>
        <w:rPr>
          <w:color w:val="000000"/>
          <w:sz w:val="32"/>
          <w:szCs w:val="32"/>
        </w:rPr>
      </w:pPr>
      <w:bookmarkStart w:id="113" w:name="_Toc150448520"/>
      <w:bookmarkStart w:id="114" w:name="_Toc152595538"/>
      <w:r>
        <w:rPr>
          <w:rFonts w:hint="eastAsia"/>
          <w:color w:val="000000"/>
          <w:sz w:val="32"/>
          <w:szCs w:val="32"/>
        </w:rPr>
        <w:t>附件</w:t>
      </w:r>
      <w:bookmarkEnd w:id="113"/>
      <w:bookmarkEnd w:id="114"/>
    </w:p>
    <w:p>
      <w:pPr>
        <w:pStyle w:val="13"/>
        <w:numPr>
          <w:ilvl w:val="0"/>
          <w:numId w:val="0"/>
        </w:numPr>
        <w:spacing w:beforeLines="0" w:afterLines="0"/>
        <w:jc w:val="center"/>
        <w:rPr>
          <w:rFonts w:hint="eastAsia" w:ascii="方正小标宋_GBK" w:hAnsi="方正小标宋_GBK" w:eastAsia="方正小标宋_GBK" w:cs="方正小标宋_GBK"/>
          <w:color w:val="000000"/>
          <w:sz w:val="32"/>
          <w:szCs w:val="32"/>
          <w:lang w:eastAsia="zh-CN"/>
        </w:rPr>
      </w:pPr>
      <w:bookmarkStart w:id="115" w:name="_Toc152595539"/>
      <w:r>
        <w:rPr>
          <w:rFonts w:hint="eastAsia" w:ascii="方正小标宋_GBK" w:hAnsi="方正小标宋_GBK" w:eastAsia="方正小标宋_GBK" w:cs="方正小标宋_GBK"/>
          <w:color w:val="000000"/>
          <w:sz w:val="32"/>
          <w:szCs w:val="32"/>
        </w:rPr>
        <w:t>职业技能线上培训数字资源质量评估表</w:t>
      </w:r>
      <w:bookmarkEnd w:id="115"/>
      <w:bookmarkStart w:id="116" w:name="pindex97"/>
      <w:bookmarkEnd w:id="116"/>
      <w:r>
        <w:rPr>
          <w:rFonts w:hint="eastAsia" w:ascii="方正小标宋_GBK" w:hAnsi="方正小标宋_GBK" w:eastAsia="方正小标宋_GBK" w:cs="方正小标宋_GBK"/>
          <w:color w:val="000000"/>
          <w:sz w:val="32"/>
          <w:szCs w:val="32"/>
          <w:lang w:eastAsia="zh-CN"/>
        </w:rPr>
        <w:t>（</w:t>
      </w:r>
      <w:r>
        <w:rPr>
          <w:rFonts w:hint="eastAsia" w:ascii="方正小标宋_GBK" w:hAnsi="方正小标宋_GBK" w:eastAsia="方正小标宋_GBK" w:cs="方正小标宋_GBK"/>
          <w:color w:val="000000"/>
          <w:sz w:val="32"/>
          <w:szCs w:val="32"/>
          <w:lang w:val="en-US" w:eastAsia="zh-CN"/>
        </w:rPr>
        <w:t>参考</w:t>
      </w:r>
      <w:r>
        <w:rPr>
          <w:rFonts w:hint="eastAsia" w:ascii="方正小标宋_GBK" w:hAnsi="方正小标宋_GBK" w:eastAsia="方正小标宋_GBK" w:cs="方正小标宋_GBK"/>
          <w:color w:val="000000"/>
          <w:sz w:val="32"/>
          <w:szCs w:val="32"/>
          <w:lang w:eastAsia="zh-CN"/>
        </w:rPr>
        <w:t>）</w:t>
      </w:r>
    </w:p>
    <w:tbl>
      <w:tblPr>
        <w:tblStyle w:val="8"/>
        <w:tblW w:w="9479" w:type="dxa"/>
        <w:jc w:val="center"/>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705"/>
        <w:gridCol w:w="720"/>
        <w:gridCol w:w="2745"/>
        <w:gridCol w:w="660"/>
        <w:gridCol w:w="1080"/>
        <w:gridCol w:w="2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123" w:type="dxa"/>
            <w:gridSpan w:val="3"/>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bookmarkStart w:id="117" w:name="pindex100"/>
            <w:bookmarkEnd w:id="117"/>
            <w:r>
              <w:rPr>
                <w:rFonts w:hint="eastAsia" w:ascii="宋体" w:hAnsi="宋体" w:eastAsia="宋体" w:cs="宋体"/>
                <w:b/>
                <w:color w:val="000000"/>
                <w:szCs w:val="21"/>
              </w:rPr>
              <w:t>评估指标</w:t>
            </w:r>
          </w:p>
        </w:tc>
        <w:tc>
          <w:tcPr>
            <w:tcW w:w="274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b/>
                <w:bCs/>
                <w:color w:val="000000"/>
                <w:szCs w:val="21"/>
              </w:rPr>
              <w:t>内容要求</w:t>
            </w:r>
          </w:p>
        </w:tc>
        <w:tc>
          <w:tcPr>
            <w:tcW w:w="6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分值</w:t>
            </w:r>
          </w:p>
        </w:tc>
        <w:tc>
          <w:tcPr>
            <w:tcW w:w="108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评估方法</w:t>
            </w:r>
          </w:p>
        </w:tc>
        <w:tc>
          <w:tcPr>
            <w:tcW w:w="2871"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98"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一级</w:t>
            </w:r>
          </w:p>
        </w:tc>
        <w:tc>
          <w:tcPr>
            <w:tcW w:w="705"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二级</w:t>
            </w:r>
          </w:p>
        </w:tc>
        <w:tc>
          <w:tcPr>
            <w:tcW w:w="72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三级</w:t>
            </w:r>
          </w:p>
        </w:tc>
        <w:tc>
          <w:tcPr>
            <w:tcW w:w="2745" w:type="dxa"/>
            <w:vMerge w:val="continue"/>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p>
        </w:tc>
        <w:tc>
          <w:tcPr>
            <w:tcW w:w="6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8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2871" w:type="dxa"/>
            <w:vMerge w:val="continue"/>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资源目标（15分）</w:t>
            </w:r>
          </w:p>
        </w:tc>
        <w:tc>
          <w:tcPr>
            <w:tcW w:w="70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适用对象（6分）</w:t>
            </w: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对象类别</w:t>
            </w: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包含资源适用的学习对象类别，包括但不限于：在校生、企业职工、退役军人、高校毕业生、农村转移劳动力、失业人员</w:t>
            </w:r>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有明确所适用的学习对象的类别。</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适用的学习对象的类别表述不够明确。</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前置要求</w:t>
            </w: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对学习者学习此资源需要具备的前置条件及要求进行说明</w:t>
            </w:r>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对学习者学习此资源需要具备的前置条件及要求有充分说明。</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对学习者学习此资源需要具备的前置条件及要求说明不够充分。</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资源分类（3分）</w:t>
            </w: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资源按照培训适用的领域进行分类，分类包括但不限于：通用素质类、职业技能类、专项职业能力类、创新创业类</w:t>
            </w:r>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对资源分类有明确的描述。</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对资源分类描述不够明确。</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适用标准（3分）</w:t>
            </w: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p>
        </w:tc>
        <w:tc>
          <w:tcPr>
            <w:tcW w:w="2745" w:type="dxa"/>
            <w:vAlign w:val="center"/>
          </w:tcPr>
          <w:p>
            <w:pPr>
              <w:snapToGrid w:val="0"/>
              <w:jc w:val="both"/>
              <w:rPr>
                <w:rFonts w:hint="eastAsia" w:ascii="宋体" w:hAnsi="宋体" w:eastAsia="宋体" w:cs="宋体"/>
                <w:color w:val="000000"/>
                <w:sz w:val="21"/>
                <w:szCs w:val="21"/>
              </w:rPr>
            </w:pPr>
            <w:bookmarkStart w:id="118" w:name="sys140050"/>
            <w:r>
              <w:rPr>
                <w:rFonts w:hint="eastAsia" w:ascii="宋体" w:hAnsi="宋体" w:eastAsia="宋体" w:cs="宋体"/>
                <w:color w:val="000000"/>
                <w:sz w:val="21"/>
                <w:szCs w:val="21"/>
              </w:rPr>
              <w:t>资源开发符合标准规范要求，标准规范包括但不限于：国家职业标准、专项职业能力考核规范、企业岗位规范</w:t>
            </w:r>
            <w:bookmarkEnd w:id="118"/>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有明确资源适用的具体标准规范。</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对资源适用的具体标准规范表述不够明确。</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资源应用（3分）</w:t>
            </w: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资源按照标准规范中知识点和技能点的要求组织开发建设，支持面向不同学习者灵活组织培训课程。资源采用通用格式与标准，具有兼容性，保证学习者能够使用主流浏览器与通用播放软件进行学习</w:t>
            </w:r>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文件审阅资源检验</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对资源与标准规范中的工作内容、技能要求以及相关知识的适配情况有明确说明，且资源具有良好兼容性。</w:t>
            </w:r>
            <w:r>
              <w:rPr>
                <w:rFonts w:hint="eastAsia" w:ascii="宋体" w:hAnsi="宋体" w:eastAsia="宋体" w:cs="宋体"/>
                <w:color w:val="000000"/>
                <w:sz w:val="21"/>
                <w:szCs w:val="21"/>
                <w:lang w:eastAsia="zh-CN"/>
              </w:rPr>
              <w:t>（2.1～3.0分）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对资源与标准规范中的工作内容、技能要求以及相关知识的适配情况的说明不够明确，且资源兼容性一般。</w:t>
            </w:r>
            <w:r>
              <w:rPr>
                <w:rFonts w:hint="eastAsia" w:ascii="宋体" w:hAnsi="宋体" w:eastAsia="宋体" w:cs="宋体"/>
                <w:color w:val="000000"/>
                <w:sz w:val="21"/>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2" w:hRule="atLeast"/>
          <w:jc w:val="center"/>
        </w:trPr>
        <w:tc>
          <w:tcPr>
            <w:tcW w:w="698"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资源构成（22分）</w:t>
            </w:r>
          </w:p>
        </w:tc>
        <w:tc>
          <w:tcPr>
            <w:tcW w:w="70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课程（16分）</w:t>
            </w: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资源介绍</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资源介绍包括资源名称、总学时、适用学习对象及主要学习内容、培训项目特点、培训方式及组织形式等内容</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资源介绍清晰准确，便于学习者和企业用人单位进行资源选择。</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资源介绍不清晰准确，不便于学习者和企业用人单位进行资源选择。</w:t>
            </w:r>
            <w:r>
              <w:rPr>
                <w:rFonts w:hint="eastAsia" w:ascii="宋体" w:hAnsi="宋体" w:eastAsia="宋体" w:cs="宋体"/>
                <w:color w:val="000000"/>
                <w:szCs w:val="21"/>
                <w:lang w:eastAsia="zh-CN"/>
              </w:rPr>
              <w:t>（</w:t>
            </w:r>
            <w:r>
              <w:rPr>
                <w:rFonts w:hint="eastAsia" w:ascii="宋体" w:hAnsi="宋体" w:eastAsia="宋体" w:cs="宋体"/>
                <w:color w:val="000000"/>
                <w:szCs w:val="21"/>
              </w:rPr>
              <w:t>0~3.0分</w:t>
            </w:r>
            <w:r>
              <w:rPr>
                <w:rFonts w:hint="eastAsia" w:ascii="宋体" w:hAnsi="宋体" w:eastAsia="宋体" w:cs="宋体"/>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培训大纲</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培训大纲包括培训大纲说明、培训目标、培训对象、培训内容与教学建议、培训时长、培训评价等内容</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培训大纲设计有效、合理，目标达成度高。</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培训大纲设计较为合理。</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资源主体</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资源主体包括文本、图形/图像、音频、视频、动画、3D、交互式课件、仿真模拟、虚拟现实、增强现实等多媒体文件</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资源主体文件形式丰富、适应性好。</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资源主体文件形式单一、适应性弱。</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指导说明</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培训指导说明包括培训思路和方法、培训方式和素材应用、培训任务解析、培训建议、培训效果检测等，结合培训内容结构展开</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培训指导说明内容详细。</w:t>
            </w:r>
            <w:r>
              <w:rPr>
                <w:rFonts w:hint="eastAsia" w:ascii="宋体" w:hAnsi="宋体" w:eastAsia="宋体" w:cs="宋体"/>
                <w:color w:val="000000"/>
                <w:szCs w:val="21"/>
                <w:lang w:eastAsia="zh-CN"/>
              </w:rPr>
              <w:t>（3.1～4.0分）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培训指导说明内容不够详细。</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素材（6分）</w:t>
            </w:r>
          </w:p>
        </w:tc>
        <w:tc>
          <w:tcPr>
            <w:tcW w:w="720" w:type="dxa"/>
            <w:vAlign w:val="center"/>
          </w:tcPr>
          <w:p>
            <w:pPr>
              <w:pStyle w:val="11"/>
              <w:tabs>
                <w:tab w:val="center" w:pos="318"/>
                <w:tab w:val="clear" w:pos="4201"/>
              </w:tabs>
              <w:snapToGrid w:val="0"/>
              <w:ind w:left="51" w:leftChars="16"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素材清单</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素材清单对素材的类别、格式、数量、对应的培训大纲进行说明</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素材清单详细、清晰。</w:t>
            </w:r>
            <w:r>
              <w:rPr>
                <w:rFonts w:hint="eastAsia" w:ascii="宋体" w:hAnsi="宋体" w:eastAsia="宋体" w:cs="宋体"/>
                <w:color w:val="000000"/>
                <w:szCs w:val="21"/>
                <w:lang w:eastAsia="zh-CN"/>
              </w:rPr>
              <w:t>（2.1～3.0分）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素材清单不够详细、清晰。</w:t>
            </w:r>
            <w:r>
              <w:rPr>
                <w:rFonts w:hint="eastAsia" w:ascii="宋体" w:hAnsi="宋体" w:eastAsia="宋体" w:cs="宋体"/>
                <w:color w:val="000000"/>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18"/>
                <w:tab w:val="clear" w:pos="4201"/>
              </w:tabs>
              <w:snapToGrid w:val="0"/>
              <w:ind w:left="51" w:leftChars="16"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素材设计开发</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素材文件的设计和开发针对培养相关职业（岗位）的能力所需的培训重点、难点选择需要的表现形式，形式包括但不限于：文本、图形/图像、音频、视频、动画</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素材文件的表现形式设计有效、合理。</w:t>
            </w:r>
            <w:r>
              <w:rPr>
                <w:rFonts w:hint="eastAsia" w:ascii="宋体" w:hAnsi="宋体" w:eastAsia="宋体" w:cs="宋体"/>
                <w:color w:val="000000"/>
                <w:szCs w:val="21"/>
                <w:lang w:eastAsia="zh-CN"/>
              </w:rPr>
              <w:t>（2.1～3.0分）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素材文件的表现形式设计不够合理。</w:t>
            </w:r>
            <w:r>
              <w:rPr>
                <w:rFonts w:hint="eastAsia" w:ascii="宋体" w:hAnsi="宋体" w:eastAsia="宋体" w:cs="宋体"/>
                <w:color w:val="000000"/>
                <w:szCs w:val="21"/>
                <w:lang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8"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资源内容（45分）</w:t>
            </w:r>
          </w:p>
        </w:tc>
        <w:tc>
          <w:tcPr>
            <w:tcW w:w="705"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内容质量（32分）</w:t>
            </w: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培训场景设计</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场景的设计须与培训目标相匹配。除多媒体课堂讲授外，可利用软件操作录屏、实物操作录像、工作场景录像、交互式业务仿真、虚拟现实等实景实操类形式，为不同需求的培训对象，提供个性化的课程，促进培训目标的达成</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培训场景设计丰富多样，运用了实景实操示范、场景仿真模拟等手段促进培训目标的达成。</w:t>
            </w:r>
            <w:r>
              <w:rPr>
                <w:rFonts w:hint="eastAsia" w:ascii="宋体" w:hAnsi="宋体" w:eastAsia="宋体" w:cs="宋体"/>
                <w:color w:val="000000"/>
                <w:szCs w:val="21"/>
                <w:lang w:eastAsia="zh-CN"/>
              </w:rPr>
              <w:t>（5.1～8.0分）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教学场景设计单一，未运用实景实操示范、场景仿真模拟等手段促进培训目标的达成。</w:t>
            </w:r>
            <w:r>
              <w:rPr>
                <w:rFonts w:hint="eastAsia" w:ascii="宋体" w:hAnsi="宋体" w:eastAsia="宋体" w:cs="宋体"/>
                <w:color w:val="000000"/>
                <w:szCs w:val="21"/>
                <w:lang w:eastAsia="zh-CN"/>
              </w:rPr>
              <w:t>（0～5.0分）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98"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Merge w:val="continue"/>
            <w:vAlign w:val="center"/>
          </w:tcPr>
          <w:p>
            <w:pPr>
              <w:adjustRightInd w:val="0"/>
              <w:snapToGrid w:val="0"/>
              <w:jc w:val="center"/>
              <w:rPr>
                <w:rFonts w:hint="eastAsia" w:ascii="宋体" w:hAnsi="宋体" w:eastAsia="宋体" w:cs="宋体"/>
                <w:color w:val="000000"/>
                <w:sz w:val="21"/>
                <w:szCs w:val="21"/>
              </w:rPr>
            </w:pPr>
          </w:p>
        </w:tc>
        <w:tc>
          <w:tcPr>
            <w:tcW w:w="720" w:type="dxa"/>
            <w:vAlign w:val="center"/>
          </w:tcPr>
          <w:p>
            <w:pPr>
              <w:pStyle w:val="11"/>
              <w:tabs>
                <w:tab w:val="center" w:pos="337"/>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教学环节安排</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资源教学环节为培训对象提供符合能力提升规律的教与学的安排，除回顾、导学、讲授等普通教学环节外，根据培训需求安排演示、操作示范、案例分析、提问、练习等引导类教学环节</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教学环节设计紧凑高效，运用了案例分析、提问等引导类环节促进培训目标的达成。</w:t>
            </w:r>
            <w:r>
              <w:rPr>
                <w:rFonts w:hint="eastAsia" w:ascii="宋体" w:hAnsi="宋体" w:eastAsia="宋体" w:cs="宋体"/>
                <w:color w:val="000000"/>
                <w:szCs w:val="21"/>
                <w:lang w:eastAsia="zh-CN"/>
              </w:rPr>
              <w:t>（5.1～8.0分）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教学环节设计平淡，未运用案例分析、提问等引导类环节促进培训目标的达成。</w:t>
            </w:r>
            <w:r>
              <w:rPr>
                <w:rFonts w:hint="eastAsia" w:ascii="宋体" w:hAnsi="宋体" w:eastAsia="宋体" w:cs="宋体"/>
                <w:color w:val="000000"/>
                <w:szCs w:val="21"/>
                <w:lang w:eastAsia="zh-CN"/>
              </w:rPr>
              <w:t>（0～5.0分）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8"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Merge w:val="continue"/>
            <w:vAlign w:val="center"/>
          </w:tcPr>
          <w:p>
            <w:pPr>
              <w:adjustRightInd w:val="0"/>
              <w:snapToGrid w:val="0"/>
              <w:jc w:val="center"/>
              <w:rPr>
                <w:rFonts w:hint="eastAsia" w:ascii="宋体" w:hAnsi="宋体" w:eastAsia="宋体" w:cs="宋体"/>
                <w:color w:val="000000"/>
                <w:sz w:val="21"/>
                <w:szCs w:val="21"/>
              </w:rPr>
            </w:pP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教师授课表现</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参与资源录制的教师着装得体、精神饱满、态度认真、语音标准、语速得当、表达准确、节奏适度</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参与资源录制的教师的授课表现优良，能有效保持对学习者的吸引力。</w:t>
            </w:r>
            <w:r>
              <w:rPr>
                <w:rFonts w:hint="eastAsia" w:ascii="宋体" w:hAnsi="宋体" w:eastAsia="宋体" w:cs="宋体"/>
                <w:color w:val="000000"/>
                <w:szCs w:val="21"/>
                <w:lang w:eastAsia="zh-CN"/>
              </w:rPr>
              <w:t>（5.1～8.0分）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参与资源录制的教师的授课表现一般，未能有效保持对学习者的吸引力。</w:t>
            </w:r>
            <w:r>
              <w:rPr>
                <w:rFonts w:hint="eastAsia" w:ascii="宋体" w:hAnsi="宋体" w:eastAsia="宋体" w:cs="宋体"/>
                <w:color w:val="000000"/>
                <w:szCs w:val="21"/>
                <w:lang w:eastAsia="zh-CN"/>
              </w:rPr>
              <w:t>（0～5.0分）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8"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Merge w:val="continue"/>
            <w:vAlign w:val="center"/>
          </w:tcPr>
          <w:p>
            <w:pPr>
              <w:adjustRightInd w:val="0"/>
              <w:snapToGrid w:val="0"/>
              <w:jc w:val="center"/>
              <w:rPr>
                <w:rFonts w:hint="eastAsia" w:ascii="宋体" w:hAnsi="宋体" w:eastAsia="宋体" w:cs="宋体"/>
                <w:color w:val="000000"/>
                <w:sz w:val="21"/>
                <w:szCs w:val="21"/>
              </w:rPr>
            </w:pP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资源内容对标</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bookmarkStart w:id="119" w:name="sys229053"/>
            <w:r>
              <w:rPr>
                <w:rFonts w:hint="eastAsia" w:ascii="宋体" w:hAnsi="宋体" w:eastAsia="宋体" w:cs="宋体"/>
                <w:color w:val="000000"/>
                <w:szCs w:val="21"/>
              </w:rPr>
              <w:t>资源内容符合国家职业标准、专项职业能力考核规范、企业岗位规范等要求，知识点、技能点能与相应规范标准内容对应</w:t>
            </w:r>
            <w:bookmarkEnd w:id="119"/>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资源内容符合国家职业标准、专项职业能力考核规范、企业岗位规范等要求，且知识点技能点能与相应规范标准内容对应。</w:t>
            </w:r>
            <w:r>
              <w:rPr>
                <w:rFonts w:hint="eastAsia" w:ascii="宋体" w:hAnsi="宋体" w:eastAsia="宋体" w:cs="宋体"/>
                <w:color w:val="000000"/>
                <w:szCs w:val="21"/>
                <w:lang w:eastAsia="zh-CN"/>
              </w:rPr>
              <w:t>（5.1～8.0分）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资源内容基本符合国家职业标准、专项职业能力考核规范、企业岗位规范等要求。</w:t>
            </w:r>
            <w:r>
              <w:rPr>
                <w:rFonts w:hint="eastAsia" w:ascii="宋体" w:hAnsi="宋体" w:eastAsia="宋体" w:cs="宋体"/>
                <w:color w:val="000000"/>
                <w:szCs w:val="21"/>
                <w:lang w:eastAsia="zh-CN"/>
              </w:rPr>
              <w:t>（0～5.0分）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98"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内容安全（13分）</w:t>
            </w: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知识产权保护</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资源内容所使用的素材，如图片、视频、肖像、字体、配乐等资源需具有独立知识产权或版权方的授权使用证明，不得使用未授权的素材资源</w:t>
            </w: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资源内容所使用的素材和内容，有可靠的授权来源。</w:t>
            </w:r>
            <w:r>
              <w:rPr>
                <w:rFonts w:hint="eastAsia" w:ascii="宋体" w:hAnsi="宋体" w:eastAsia="宋体" w:cs="宋体"/>
                <w:color w:val="000000"/>
                <w:szCs w:val="21"/>
                <w:lang w:eastAsia="zh-CN"/>
              </w:rPr>
              <w:t>（3.1～5.0分）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部分资源内容所使用的素材和内容，没有可靠的授权来源。</w:t>
            </w:r>
            <w:r>
              <w:rPr>
                <w:rFonts w:hint="eastAsia" w:ascii="宋体" w:hAnsi="宋体" w:eastAsia="宋体" w:cs="宋体"/>
                <w:color w:val="000000"/>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98" w:type="dxa"/>
            <w:vMerge w:val="continue"/>
            <w:vAlign w:val="center"/>
          </w:tcPr>
          <w:p>
            <w:pPr>
              <w:adjustRightInd w:val="0"/>
              <w:snapToGrid w:val="0"/>
              <w:jc w:val="center"/>
              <w:rPr>
                <w:rFonts w:hint="eastAsia" w:ascii="宋体" w:hAnsi="宋体" w:eastAsia="宋体" w:cs="宋体"/>
                <w:color w:val="000000"/>
                <w:sz w:val="21"/>
                <w:szCs w:val="21"/>
              </w:rPr>
            </w:pPr>
          </w:p>
        </w:tc>
        <w:tc>
          <w:tcPr>
            <w:tcW w:w="705" w:type="dxa"/>
            <w:vMerge w:val="continue"/>
            <w:vAlign w:val="center"/>
          </w:tcPr>
          <w:p>
            <w:pPr>
              <w:adjustRightInd w:val="0"/>
              <w:snapToGrid w:val="0"/>
              <w:jc w:val="center"/>
              <w:rPr>
                <w:rFonts w:hint="eastAsia" w:ascii="宋体" w:hAnsi="宋体" w:eastAsia="宋体" w:cs="宋体"/>
                <w:color w:val="000000"/>
                <w:sz w:val="21"/>
                <w:szCs w:val="21"/>
              </w:rPr>
            </w:pP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合法合规</w:t>
            </w:r>
          </w:p>
        </w:tc>
        <w:tc>
          <w:tcPr>
            <w:tcW w:w="2745" w:type="dxa"/>
            <w:vAlign w:val="center"/>
          </w:tcPr>
          <w:p>
            <w:pPr>
              <w:pStyle w:val="11"/>
              <w:snapToGrid w:val="0"/>
              <w:ind w:firstLine="0" w:firstLineChars="0"/>
              <w:rPr>
                <w:rFonts w:hint="eastAsia" w:ascii="宋体" w:hAnsi="宋体" w:eastAsia="宋体" w:cs="宋体"/>
                <w:color w:val="000000"/>
                <w:szCs w:val="21"/>
              </w:rPr>
            </w:pPr>
            <w:bookmarkStart w:id="120" w:name="sys245038"/>
            <w:r>
              <w:rPr>
                <w:rFonts w:hint="eastAsia" w:ascii="宋体" w:hAnsi="宋体" w:eastAsia="宋体" w:cs="宋体"/>
                <w:color w:val="000000"/>
                <w:szCs w:val="21"/>
              </w:rPr>
              <w:t>资源内容具有严格的审校过程，资源中不得含有法律、行政法规和国家规定禁止的内容</w:t>
            </w:r>
            <w:bookmarkEnd w:id="120"/>
          </w:p>
          <w:p>
            <w:pPr>
              <w:pStyle w:val="11"/>
              <w:tabs>
                <w:tab w:val="center" w:pos="709"/>
                <w:tab w:val="clear" w:pos="4201"/>
              </w:tabs>
              <w:snapToGrid w:val="0"/>
              <w:ind w:firstLine="0" w:firstLineChars="0"/>
              <w:rPr>
                <w:rFonts w:hint="eastAsia" w:ascii="宋体" w:hAnsi="宋体" w:eastAsia="宋体" w:cs="宋体"/>
                <w:color w:val="000000"/>
                <w:szCs w:val="21"/>
              </w:rPr>
            </w:pPr>
          </w:p>
        </w:tc>
        <w:tc>
          <w:tcPr>
            <w:tcW w:w="6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08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文件审阅资源检验</w:t>
            </w:r>
          </w:p>
        </w:tc>
        <w:tc>
          <w:tcPr>
            <w:tcW w:w="2871"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资源内容审校过程严格，未发现含有法律、行政法规和国家规定禁止的内容。</w:t>
            </w:r>
            <w:r>
              <w:rPr>
                <w:rFonts w:hint="eastAsia" w:ascii="宋体" w:hAnsi="宋体" w:eastAsia="宋体" w:cs="宋体"/>
                <w:color w:val="000000"/>
                <w:szCs w:val="21"/>
                <w:lang w:eastAsia="zh-CN"/>
              </w:rPr>
              <w:t>（5.1～8.0分）</w:t>
            </w:r>
          </w:p>
          <w:p>
            <w:pPr>
              <w:pStyle w:val="11"/>
              <w:tabs>
                <w:tab w:val="center" w:pos="709"/>
                <w:tab w:val="clear" w:pos="4201"/>
              </w:tabs>
              <w:snapToGrid w:val="0"/>
              <w:ind w:firstLine="0" w:firstLineChars="0"/>
              <w:rPr>
                <w:rFonts w:hint="eastAsia" w:ascii="宋体" w:hAnsi="宋体" w:eastAsia="宋体" w:cs="宋体"/>
                <w:color w:val="000000"/>
                <w:szCs w:val="21"/>
                <w:lang w:eastAsia="zh-CN"/>
              </w:rPr>
            </w:pPr>
            <w:r>
              <w:rPr>
                <w:rFonts w:hint="eastAsia" w:ascii="宋体" w:hAnsi="宋体" w:eastAsia="宋体" w:cs="宋体"/>
                <w:color w:val="000000"/>
                <w:szCs w:val="21"/>
              </w:rPr>
              <w:t>资源内容审校过程不严格。</w:t>
            </w:r>
            <w:r>
              <w:rPr>
                <w:rFonts w:hint="eastAsia" w:ascii="宋体" w:hAnsi="宋体" w:eastAsia="宋体" w:cs="宋体"/>
                <w:color w:val="000000"/>
                <w:szCs w:val="21"/>
                <w:lang w:eastAsia="zh-CN"/>
              </w:rPr>
              <w:t>（0～5.0分）</w:t>
            </w:r>
          </w:p>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发现含有法律、行政法规和国家规定禁止的内容。【单项否决】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698"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服务团队（18分）</w:t>
            </w:r>
          </w:p>
        </w:tc>
        <w:tc>
          <w:tcPr>
            <w:tcW w:w="70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开发团队（4分）</w:t>
            </w: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根据资源评价制定整改措施，进行优化和改进；注重服务对象的满意度和服务效能的提升，持续提高资源质量</w:t>
            </w:r>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资源整改措施支持资源优化和改进，能够持续提高资源质量。</w:t>
            </w:r>
            <w:r>
              <w:rPr>
                <w:rFonts w:hint="eastAsia" w:ascii="宋体" w:hAnsi="宋体" w:eastAsia="宋体" w:cs="宋体"/>
                <w:color w:val="000000"/>
                <w:sz w:val="21"/>
                <w:szCs w:val="21"/>
                <w:lang w:eastAsia="zh-CN"/>
              </w:rPr>
              <w:t>（1.1～2.0分）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资源整改措施基本支持资源优化和改进。</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2745"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具有资源开发的管理与评价制度，以及与资源开发内容相适应的资源开发团队，团队成员结构合理、分工明确</w:t>
            </w:r>
          </w:p>
        </w:tc>
        <w:tc>
          <w:tcPr>
            <w:tcW w:w="66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80"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开发团队岗位结构合理、人员数量及资质充分。</w:t>
            </w:r>
            <w:r>
              <w:rPr>
                <w:rFonts w:hint="eastAsia" w:ascii="宋体" w:hAnsi="宋体" w:eastAsia="宋体" w:cs="宋体"/>
                <w:color w:val="000000"/>
                <w:sz w:val="21"/>
                <w:szCs w:val="21"/>
                <w:lang w:eastAsia="zh-CN"/>
              </w:rPr>
              <w:t>（1.1～2.0分）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开发团队岗位结构不够合理、人员数量及资质不充分。</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师资团队（10分）</w:t>
            </w: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2745"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建立师资管理机制，对师资资质及背景、工作职责分工、行为规范、考核评价等方面进行规范</w:t>
            </w:r>
          </w:p>
        </w:tc>
        <w:tc>
          <w:tcPr>
            <w:tcW w:w="66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8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师资管理制度能保障资源内容专业、讲授水平高。</w:t>
            </w:r>
            <w:r>
              <w:rPr>
                <w:rFonts w:hint="eastAsia" w:ascii="宋体" w:hAnsi="宋体" w:eastAsia="宋体" w:cs="宋体"/>
                <w:color w:val="000000"/>
                <w:sz w:val="21"/>
                <w:szCs w:val="21"/>
                <w:lang w:eastAsia="zh-CN"/>
              </w:rPr>
              <w:t>（3.1～5.0分）</w:t>
            </w:r>
          </w:p>
          <w:p>
            <w:pPr>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师资管理制度能保障资源内容专业、讲授水平基本合格。</w:t>
            </w:r>
            <w:r>
              <w:rPr>
                <w:rFonts w:hint="eastAsia" w:ascii="宋体" w:hAnsi="宋体" w:eastAsia="宋体" w:cs="宋体"/>
                <w:color w:val="000000"/>
                <w:sz w:val="21"/>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根据资源建设规模及复杂程度，配备人数适宜、结构合理的师资团队。团队人员具有相关师资任职资格</w:t>
            </w:r>
          </w:p>
        </w:tc>
        <w:tc>
          <w:tcPr>
            <w:tcW w:w="66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108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师资团队岗位结构合理、人员数量及资质充分。</w:t>
            </w:r>
            <w:r>
              <w:rPr>
                <w:rFonts w:hint="eastAsia" w:ascii="宋体" w:hAnsi="宋体" w:eastAsia="宋体" w:cs="宋体"/>
                <w:color w:val="000000"/>
                <w:sz w:val="21"/>
                <w:szCs w:val="21"/>
                <w:lang w:eastAsia="zh-CN"/>
              </w:rPr>
              <w:t>（3.1～5.0分）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师资团队岗位结构不够合理、人员数量及资质不充分。</w:t>
            </w:r>
            <w:r>
              <w:rPr>
                <w:rFonts w:hint="eastAsia" w:ascii="宋体" w:hAnsi="宋体" w:eastAsia="宋体" w:cs="宋体"/>
                <w:color w:val="000000"/>
                <w:sz w:val="21"/>
                <w:szCs w:val="21"/>
                <w:lang w:eastAsia="zh-CN"/>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在线学习服务团队（4分）</w:t>
            </w: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2745"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资源的在线学习服务团队为培训对象使用资源提供学习咨询、问题解答、投诉反馈等服务</w:t>
            </w:r>
          </w:p>
        </w:tc>
        <w:tc>
          <w:tcPr>
            <w:tcW w:w="66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8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能为培训对象使用学习资源提供完善的咨询和解答服务。</w:t>
            </w:r>
            <w:r>
              <w:rPr>
                <w:rFonts w:hint="eastAsia" w:ascii="宋体" w:hAnsi="宋体" w:eastAsia="宋体" w:cs="宋体"/>
                <w:color w:val="000000"/>
                <w:sz w:val="21"/>
                <w:szCs w:val="21"/>
                <w:lang w:eastAsia="zh-CN"/>
              </w:rPr>
              <w:t>（1.1～2.0分）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不能为培训对象使用学习资源提供完善的咨询和解答服务。</w:t>
            </w:r>
            <w:r>
              <w:rPr>
                <w:rFonts w:hint="eastAsia" w:ascii="宋体" w:hAnsi="宋体" w:eastAsia="宋体" w:cs="宋体"/>
                <w:color w:val="000000"/>
                <w:sz w:val="21"/>
                <w:szCs w:val="21"/>
                <w:lang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698"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0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7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2745"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根据培训对象的人数，配备人数适宜、结构合理的在线学习服务团队。在线学习服务团队人员具有在线学习服务师任职资格</w:t>
            </w:r>
          </w:p>
        </w:tc>
        <w:tc>
          <w:tcPr>
            <w:tcW w:w="66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08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文件审阅</w:t>
            </w:r>
          </w:p>
        </w:tc>
        <w:tc>
          <w:tcPr>
            <w:tcW w:w="2871"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在线学习服务团队岗位结构合理、人员数量及资质充分。</w:t>
            </w:r>
            <w:r>
              <w:rPr>
                <w:rFonts w:hint="eastAsia" w:ascii="宋体" w:hAnsi="宋体" w:eastAsia="宋体" w:cs="宋体"/>
                <w:color w:val="000000"/>
                <w:sz w:val="21"/>
                <w:szCs w:val="21"/>
                <w:lang w:eastAsia="zh-CN"/>
              </w:rPr>
              <w:t>（1.1～2.0分）</w:t>
            </w:r>
          </w:p>
          <w:p>
            <w:pPr>
              <w:pStyle w:val="14"/>
              <w:numPr>
                <w:ilvl w:val="2"/>
                <w:numId w:val="0"/>
              </w:numPr>
              <w:tabs>
                <w:tab w:val="center" w:pos="709"/>
              </w:tabs>
              <w:snapToGrid w:val="0"/>
              <w:ind w:left="0" w:leftChars="0" w:firstLine="0" w:firstLineChars="0"/>
              <w:jc w:val="both"/>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在线学习服务团队岗位结构不够合理、人员数量及资质不充分。</w:t>
            </w:r>
            <w:r>
              <w:rPr>
                <w:rFonts w:hint="eastAsia" w:ascii="宋体" w:hAnsi="宋体" w:eastAsia="宋体" w:cs="宋体"/>
                <w:color w:val="000000"/>
                <w:sz w:val="21"/>
                <w:szCs w:val="21"/>
                <w:lang w:eastAsia="zh-CN"/>
              </w:rPr>
              <w:t>（0～1.0分）</w:t>
            </w:r>
          </w:p>
        </w:tc>
      </w:tr>
    </w:tbl>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textAlignment w:val="auto"/>
        <w:rPr>
          <w:rFonts w:hint="eastAsia" w:ascii="宋体" w:hAnsi="宋体" w:eastAsia="宋体" w:cs="宋体"/>
          <w:color w:val="000000"/>
          <w:sz w:val="22"/>
          <w:szCs w:val="21"/>
        </w:rPr>
      </w:pPr>
    </w:p>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440" w:firstLineChars="200"/>
        <w:textAlignment w:val="auto"/>
        <w:rPr>
          <w:rFonts w:hint="eastAsia" w:ascii="宋体" w:hAnsi="宋体" w:eastAsia="宋体" w:cs="宋体"/>
          <w:color w:val="000000"/>
          <w:sz w:val="22"/>
          <w:szCs w:val="21"/>
          <w:lang w:val="en-US" w:eastAsia="zh-CN"/>
        </w:rPr>
      </w:pPr>
      <w:r>
        <w:rPr>
          <w:rFonts w:hint="eastAsia" w:ascii="宋体" w:hAnsi="宋体" w:eastAsia="宋体" w:cs="宋体"/>
          <w:color w:val="000000"/>
          <w:sz w:val="22"/>
          <w:szCs w:val="21"/>
        </w:rPr>
        <w:t>说明：数字资源质量评估指标体系由三级指标及其内容要求构成。评估指标体系设有4项一级指标，分别为资源目标、资源构成、资源内容、服务团队，二级指标11项，三级指标20项。评估总分为100分。各地可根据实际情况，采用分数梯度的方法划分数字资源等级。各地开展数字资源遴选、评估时可参考以上评分规则，也可根据实际情况调整各指标分数权重。</w:t>
      </w: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spacing w:line="596" w:lineRule="exact"/>
        <w:textAlignment w:val="top"/>
        <w:rPr>
          <w:rFonts w:ascii="Times New Roman" w:hAnsi="Times New Roman" w:cs="Times New Roma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r>
        <w:rPr>
          <w:rFonts w:hint="eastAsia"/>
          <w:lang w:val="en-US" w:eastAsia="zh-CN"/>
        </w:rPr>
        <w:t xml:space="preserve"> </w:t>
      </w:r>
    </w:p>
    <w:p>
      <w:pPr>
        <w:spacing w:line="596" w:lineRule="exact"/>
        <w:textAlignment w:val="top"/>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黑体" w:hAnsi="黑体" w:eastAsia="黑体" w:cs="黑体"/>
          <w:lang w:val="en-US" w:eastAsia="zh-CN"/>
        </w:rPr>
        <w:t>1</w:t>
      </w:r>
    </w:p>
    <w:p>
      <w:pPr>
        <w:pStyle w:val="13"/>
        <w:spacing w:beforeLines="0" w:afterLines="0"/>
        <w:jc w:val="center"/>
        <w:rPr>
          <w:rFonts w:hint="eastAsia"/>
        </w:rPr>
      </w:pPr>
      <w:r>
        <w:rPr>
          <w:rFonts w:hint="eastAsia" w:ascii="方正小标宋_GBK" w:hAnsi="方正小标宋_GBK" w:eastAsia="方正小标宋_GBK" w:cs="方正小标宋_GBK"/>
          <w:color w:val="000000"/>
          <w:sz w:val="30"/>
          <w:szCs w:val="30"/>
        </w:rPr>
        <w:t>职业技能线上培训平台运营服务质量评估</w:t>
      </w:r>
      <w:r>
        <w:rPr>
          <w:rFonts w:hint="eastAsia" w:ascii="方正小标宋_GBK" w:hAnsi="方正小标宋_GBK" w:eastAsia="方正小标宋_GBK" w:cs="方正小标宋_GBK"/>
          <w:color w:val="000000"/>
          <w:sz w:val="30"/>
          <w:szCs w:val="30"/>
          <w:lang w:val="en-US" w:eastAsia="zh-CN"/>
        </w:rPr>
        <w:t>得分</w:t>
      </w:r>
      <w:r>
        <w:rPr>
          <w:rFonts w:hint="eastAsia" w:ascii="方正小标宋_GBK" w:hAnsi="方正小标宋_GBK" w:eastAsia="方正小标宋_GBK" w:cs="方正小标宋_GBK"/>
          <w:color w:val="000000"/>
          <w:sz w:val="30"/>
          <w:szCs w:val="30"/>
        </w:rPr>
        <w:t>表</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default"/>
          <w:lang w:val="en-US" w:eastAsia="zh-CN"/>
        </w:rPr>
      </w:pPr>
      <w:r>
        <w:rPr>
          <w:rFonts w:hint="eastAsia"/>
          <w:lang w:val="en-US" w:eastAsia="zh-CN"/>
        </w:rPr>
        <w:t>填报单位（盖章）：                                      填报日期：2024年  月  日</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r>
        <w:rPr>
          <w:rFonts w:hint="eastAsia"/>
          <w:lang w:val="en-US" w:eastAsia="zh-CN"/>
        </w:rPr>
        <w:t xml:space="preserve">线上培训平台名称及网址：           </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tbl>
      <w:tblPr>
        <w:tblStyle w:val="8"/>
        <w:tblW w:w="997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70"/>
        <w:gridCol w:w="1050"/>
        <w:gridCol w:w="5550"/>
        <w:gridCol w:w="707"/>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blHeader/>
        </w:trPr>
        <w:tc>
          <w:tcPr>
            <w:tcW w:w="2805" w:type="dxa"/>
            <w:gridSpan w:val="3"/>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评估指标</w:t>
            </w:r>
          </w:p>
        </w:tc>
        <w:tc>
          <w:tcPr>
            <w:tcW w:w="555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b/>
                <w:bCs/>
                <w:color w:val="000000"/>
                <w:szCs w:val="21"/>
              </w:rPr>
              <w:t>内容要求</w:t>
            </w:r>
          </w:p>
        </w:tc>
        <w:tc>
          <w:tcPr>
            <w:tcW w:w="707"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分值</w:t>
            </w:r>
          </w:p>
        </w:tc>
        <w:tc>
          <w:tcPr>
            <w:tcW w:w="913"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lang w:eastAsia="zh-CN"/>
              </w:rPr>
            </w:pPr>
            <w:r>
              <w:rPr>
                <w:rFonts w:hint="eastAsia" w:ascii="宋体" w:hAnsi="宋体" w:eastAsia="宋体" w:cs="宋体"/>
                <w:b/>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85"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一级</w:t>
            </w:r>
          </w:p>
        </w:tc>
        <w:tc>
          <w:tcPr>
            <w:tcW w:w="87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二级</w:t>
            </w:r>
          </w:p>
        </w:tc>
        <w:tc>
          <w:tcPr>
            <w:tcW w:w="105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三级</w:t>
            </w:r>
          </w:p>
        </w:tc>
        <w:tc>
          <w:tcPr>
            <w:tcW w:w="5550" w:type="dxa"/>
            <w:vMerge w:val="continue"/>
            <w:vAlign w:val="center"/>
          </w:tcPr>
          <w:p>
            <w:pPr>
              <w:pStyle w:val="11"/>
              <w:tabs>
                <w:tab w:val="center" w:pos="709"/>
                <w:tab w:val="clear" w:pos="4201"/>
              </w:tabs>
              <w:ind w:firstLine="0" w:firstLineChars="0"/>
              <w:rPr>
                <w:rFonts w:hint="eastAsia" w:ascii="宋体" w:hAnsi="宋体" w:eastAsia="宋体" w:cs="宋体"/>
                <w:color w:val="000000"/>
                <w:szCs w:val="21"/>
              </w:rPr>
            </w:pPr>
          </w:p>
        </w:tc>
        <w:tc>
          <w:tcPr>
            <w:tcW w:w="707" w:type="dxa"/>
            <w:vMerge w:val="continue"/>
            <w:vAlign w:val="center"/>
          </w:tcPr>
          <w:p>
            <w:pPr>
              <w:pStyle w:val="11"/>
              <w:tabs>
                <w:tab w:val="center" w:pos="709"/>
                <w:tab w:val="clear" w:pos="4201"/>
              </w:tabs>
              <w:ind w:firstLine="0" w:firstLineChars="0"/>
              <w:jc w:val="center"/>
              <w:rPr>
                <w:rFonts w:hint="eastAsia" w:ascii="宋体" w:hAnsi="宋体" w:eastAsia="宋体" w:cs="宋体"/>
                <w:color w:val="000000"/>
                <w:szCs w:val="21"/>
              </w:rPr>
            </w:pPr>
          </w:p>
        </w:tc>
        <w:tc>
          <w:tcPr>
            <w:tcW w:w="913" w:type="dxa"/>
            <w:vMerge w:val="continue"/>
            <w:vAlign w:val="center"/>
          </w:tcPr>
          <w:p>
            <w:pPr>
              <w:pStyle w:val="11"/>
              <w:tabs>
                <w:tab w:val="center" w:pos="709"/>
                <w:tab w:val="clear" w:pos="4201"/>
              </w:tabs>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基本要求（20分）</w:t>
            </w: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运营机构（11分）</w:t>
            </w: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机构资质</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运营机构具有相应资质，包括但不限于机构的营业执照、计算机软件著作权登记证明、信息系统安全等级保护备案证明、ICP（互联网信息服务）业务经营许可、ICP（互联网信息服务）备案，且主办单位与平台运营机构一致。平台运营机构须为在中国境内依法注册或者登记的企业、事业单位、社会团体、民办非企业单位等组织。平台服务器设置在中国境内</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运营状态</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平台正常稳定运营二年以上（以ICP首次备案审核通过时间为准）</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服务案例</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平台运营服务案例</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社会信誉</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平台运营机构具有良好的社会信用，无违法、违纪、失信等不良行为记录</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权益保障</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平台运营机构具有规范的财务制度和管理制度，承担对服务对象交易安全、隐私保护等合法权益的基础责任</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基础设施（9分）</w:t>
            </w: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平台性能</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平台的服务器负载、网络带宽、并发数满足在线学习者人数及学习需求</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终端支持</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平台支持电脑端、移动设备端。电脑端支持主流浏览器，对浏览器版本兼容性好；移动设备端支持主流操作系统，兼容性好</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5"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信息安全</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平台建立网络与信息安全保障机制，包括但不限于防火墙设置、防病毒软件安装、访问日志留存、平台数据多机备份、服务器密码管理、平台权限管理、个人身份信息数据加密及导出脱敏、信息系统安全运维等</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restart"/>
            <w:vAlign w:val="center"/>
          </w:tcPr>
          <w:p>
            <w:pPr>
              <w:pStyle w:val="11"/>
              <w:tabs>
                <w:tab w:val="center" w:pos="709"/>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培训管理（45分）</w:t>
            </w:r>
          </w:p>
        </w:tc>
        <w:tc>
          <w:tcPr>
            <w:tcW w:w="870" w:type="dxa"/>
            <w:vMerge w:val="restart"/>
            <w:vAlign w:val="center"/>
          </w:tcPr>
          <w:p>
            <w:pPr>
              <w:pStyle w:val="11"/>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用户核验（8分）</w:t>
            </w:r>
          </w:p>
        </w:tc>
        <w:tc>
          <w:tcPr>
            <w:tcW w:w="1050" w:type="dxa"/>
            <w:vAlign w:val="center"/>
          </w:tcPr>
          <w:p>
            <w:pPr>
              <w:pStyle w:val="11"/>
              <w:tabs>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身份认证</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对服务对象进行实名认证。对机构实名认证内容包括但不限于：机构名称、统一社会信用代码、机构地址、法定代表人姓名、联系人姓名、联系人职务、联系人电话等。对学习者认证内容包括但不限于：姓名、公民身份号码、电子社保卡号码、手机号码、居民身份证照片、头像相片等</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trPr>
        <w:tc>
          <w:tcPr>
            <w:tcW w:w="885" w:type="dxa"/>
            <w:vMerge w:val="continue"/>
            <w:vAlign w:val="center"/>
          </w:tcPr>
          <w:p>
            <w:pPr>
              <w:pStyle w:val="11"/>
              <w:tabs>
                <w:tab w:val="center" w:pos="709"/>
              </w:tabs>
              <w:snapToGrid w:val="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18"/>
                <w:tab w:val="clear" w:pos="4201"/>
              </w:tabs>
              <w:snapToGrid w:val="0"/>
              <w:ind w:left="38"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学习过程</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具备安全、便捷的用户身份核验技术，包括但不限于采用人脸识别认证、电信运营商手机实名认证、电子社保卡实名认证等方式，在用户注册、学习、考试等环节对用户身份进行核验。支持学习者使用以电子社保卡为载体的职业培训券</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培训项目（12分）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分类目录</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培训项目根据培训对象、国家职业分类等方式进行分类管理</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strike/>
                <w:color w:val="000000"/>
                <w:szCs w:val="21"/>
              </w:rPr>
            </w:pPr>
            <w:r>
              <w:rPr>
                <w:rFonts w:hint="eastAsia" w:ascii="宋体" w:hAnsi="宋体" w:eastAsia="宋体" w:cs="宋体"/>
                <w:color w:val="000000"/>
                <w:szCs w:val="21"/>
              </w:rPr>
              <w:t>课程编排</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培训项目发布支持根据相关标准规范中要求的知识点和技能点进行课程内容编排。相关标准规范包括国家职业标准、专项职业能力考核规范、企业岗位规范等</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1050" w:type="dxa"/>
            <w:vAlign w:val="center"/>
          </w:tcPr>
          <w:p>
            <w:pPr>
              <w:pStyle w:val="11"/>
              <w:tabs>
                <w:tab w:val="center" w:pos="337"/>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内容形式</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培训项目发布支持多种内容形式，包括但不限于视频、音频、图文、文档、自测、互动式课件、虚拟仿真等</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培训过程（12分）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形式</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培训过程支持直播、录播、课件、在线研讨、互动交流等多种培训形式</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组织形式</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培训过程支持学习者自主学习、模拟实操、测试、协作等多种培训组织形式</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应答服务</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培训过程支持电子邮件、即时通信、电话等多种形式向学习者推送培训安排及答疑支持</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质量与安全管理（13分）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学情监测</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平台具有人脸识别、即时互动、禁止同一账号同时多端口登录、禁止多页面非前台播放课程等质量管控功能，防止刷课、挂课、替课、刷考、替考等弄虚作假行为，确保培训过程真实、有效</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统计管理</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平台支持培训机构、企业用人单位对培训班级、学习者的考勤、学习、测试等数据进行记录、查询、统计分析，支持对培训项目数字资源的使用情况等进行统计分析</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885" w:type="dxa"/>
            <w:vMerge w:val="continue"/>
            <w:vAlign w:val="center"/>
          </w:tcPr>
          <w:p>
            <w:pPr>
              <w:adjustRightInd w:val="0"/>
              <w:snapToGrid w:val="0"/>
              <w:jc w:val="center"/>
              <w:rPr>
                <w:rFonts w:hint="eastAsia" w:ascii="宋体" w:hAnsi="宋体" w:eastAsia="宋体" w:cs="宋体"/>
                <w:color w:val="000000"/>
                <w:sz w:val="21"/>
                <w:szCs w:val="21"/>
              </w:rPr>
            </w:pPr>
          </w:p>
        </w:tc>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监管功能</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平台支持监管机构对培训机构、企业用人单位开展的培训项目数据进行查询、调取、统计分析</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88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学习服务（20分）</w:t>
            </w: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学习功能（12分）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过程</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记录</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平台支持对学习者学习过程进行记录，包括但不限于学习开始时间、学习时长、作业和测试</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评价</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记录</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平台支持对学习者进行过程评价和结果评价，并记录评价数据，包括但不限于测试的结果，时长，错题分布，测试行为规范的信息</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913"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报告</w:t>
            </w:r>
          </w:p>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生成</w:t>
            </w:r>
          </w:p>
        </w:tc>
        <w:tc>
          <w:tcPr>
            <w:tcW w:w="5550" w:type="dxa"/>
            <w:vAlign w:val="center"/>
          </w:tcPr>
          <w:p>
            <w:pPr>
              <w:pStyle w:val="11"/>
              <w:tabs>
                <w:tab w:val="center" w:pos="709"/>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平台为学习者提供在平台学习活动中形成的学习记录，包括但不限于学习过程、学习结果</w:t>
            </w:r>
          </w:p>
        </w:tc>
        <w:tc>
          <w:tcPr>
            <w:tcW w:w="707" w:type="dxa"/>
            <w:vAlign w:val="center"/>
          </w:tcPr>
          <w:p>
            <w:pPr>
              <w:pStyle w:val="11"/>
              <w:tabs>
                <w:tab w:val="center" w:pos="709"/>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913" w:type="dxa"/>
            <w:vAlign w:val="center"/>
          </w:tcPr>
          <w:p>
            <w:pPr>
              <w:pStyle w:val="11"/>
              <w:tabs>
                <w:tab w:val="center" w:pos="709"/>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4"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学习支持（8分）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查看进度</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平台支持学习者查看学习进度，包括已完成课程、参与度等信息</w:t>
            </w:r>
          </w:p>
        </w:tc>
        <w:tc>
          <w:tcPr>
            <w:tcW w:w="707"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提供指南</w:t>
            </w:r>
          </w:p>
        </w:tc>
        <w:tc>
          <w:tcPr>
            <w:tcW w:w="5550"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平台为学习者提供所学习课程的基本信息和学习指南，方便学习者制定学习计划</w:t>
            </w:r>
          </w:p>
        </w:tc>
        <w:tc>
          <w:tcPr>
            <w:tcW w:w="707"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使用平台</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平台为学习者提供平台使用说明，指导学习者使用学习平台，及时解决学习活动与服务过程中的技术问题</w:t>
            </w:r>
          </w:p>
        </w:tc>
        <w:tc>
          <w:tcPr>
            <w:tcW w:w="707"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885"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运营管理（15分）</w:t>
            </w: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平台运维（5分）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5550"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平台根据服务对象的数量配备人数适宜、结构合理的运维团队，成员具备专业知识和技能</w:t>
            </w:r>
          </w:p>
        </w:tc>
        <w:tc>
          <w:tcPr>
            <w:tcW w:w="707"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5550"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运维服务团队及时发现和解决平台系统运行问题，降低故障发生的概率，确保业务的连续性</w:t>
            </w:r>
          </w:p>
        </w:tc>
        <w:tc>
          <w:tcPr>
            <w:tcW w:w="707"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客服服务（5分）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5550"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平台根据服务对象的数量配备人数适宜、结构合理的客服团队，成员具备专业知识和技能</w:t>
            </w:r>
          </w:p>
        </w:tc>
        <w:tc>
          <w:tcPr>
            <w:tcW w:w="707"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5550"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平台提供电话、网络投诉渠道并保证渠道畅通，及时处理客户反馈问题，并建立沟通管理机制，明确反馈时限，按时答复、安排处理服务对象诉求</w:t>
            </w:r>
          </w:p>
        </w:tc>
        <w:tc>
          <w:tcPr>
            <w:tcW w:w="707"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平台管理（5分）</w:t>
            </w: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部门设置与制度</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平台运营机构内设部门组织结构科学、职责明确、人员配置合理，有完善可行的员工管理制度</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885"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05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监督机制</w:t>
            </w:r>
          </w:p>
        </w:tc>
        <w:tc>
          <w:tcPr>
            <w:tcW w:w="5550"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平台运营机构建立平台服务监督机制。设置服务公示版块，内容包括但不限于服务内容、服务依据、服务流程、服务要求、投诉渠道。实施内部监督和审核，同时接受外部监督，设置监督意见反馈表，会议审核记录等，根据监督和审核结果，实施纠正和预防措施</w:t>
            </w:r>
          </w:p>
        </w:tc>
        <w:tc>
          <w:tcPr>
            <w:tcW w:w="707"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9062" w:type="dxa"/>
            <w:gridSpan w:val="5"/>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lang w:val="en-US" w:eastAsia="zh-CN"/>
              </w:rPr>
              <w:t>总计得分</w:t>
            </w:r>
          </w:p>
        </w:tc>
        <w:tc>
          <w:tcPr>
            <w:tcW w:w="913"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p>
        </w:tc>
      </w:tr>
    </w:tbl>
    <w:p>
      <w:pPr>
        <w:spacing w:line="596" w:lineRule="exact"/>
        <w:textAlignment w:val="top"/>
        <w:rPr>
          <w:rFonts w:hint="eastAsia" w:ascii="黑体" w:hAnsi="黑体" w:eastAsia="黑体" w:cs="黑体"/>
          <w:lang w:val="en-US" w:eastAsia="zh-CN"/>
        </w:rPr>
      </w:pPr>
    </w:p>
    <w:p>
      <w:pPr>
        <w:spacing w:line="596" w:lineRule="exact"/>
        <w:textAlignment w:val="top"/>
        <w:rPr>
          <w:rFonts w:hint="eastAsia" w:ascii="黑体" w:hAnsi="黑体" w:eastAsia="黑体" w:cs="黑体"/>
          <w:lang w:val="en-US" w:eastAsia="zh-CN"/>
        </w:rPr>
      </w:pPr>
    </w:p>
    <w:p>
      <w:pPr>
        <w:spacing w:line="596" w:lineRule="exact"/>
        <w:textAlignment w:val="top"/>
        <w:rPr>
          <w:rFonts w:hint="eastAsia" w:ascii="黑体" w:hAnsi="黑体" w:eastAsia="黑体" w:cs="黑体"/>
          <w:lang w:val="en-US" w:eastAsia="zh-CN"/>
        </w:rPr>
      </w:pPr>
    </w:p>
    <w:p>
      <w:pPr>
        <w:spacing w:line="596" w:lineRule="exact"/>
        <w:textAlignment w:val="top"/>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黑体" w:hAnsi="黑体" w:eastAsia="黑体" w:cs="黑体"/>
          <w:lang w:val="en-US" w:eastAsia="zh-CN"/>
        </w:rPr>
        <w:t>2</w:t>
      </w:r>
    </w:p>
    <w:p>
      <w:pPr>
        <w:pStyle w:val="13"/>
        <w:numPr>
          <w:ilvl w:val="0"/>
          <w:numId w:val="0"/>
        </w:numPr>
        <w:spacing w:beforeLines="0" w:afterLines="0"/>
        <w:jc w:val="center"/>
        <w:rPr>
          <w:rFonts w:hint="eastAsia"/>
        </w:rPr>
      </w:pPr>
      <w:r>
        <w:rPr>
          <w:rFonts w:hint="eastAsia" w:ascii="方正小标宋_GBK" w:hAnsi="方正小标宋_GBK" w:eastAsia="方正小标宋_GBK" w:cs="方正小标宋_GBK"/>
          <w:color w:val="000000"/>
          <w:sz w:val="32"/>
          <w:szCs w:val="32"/>
        </w:rPr>
        <w:t>职业技能线上培训数字资源质量</w:t>
      </w:r>
      <w:r>
        <w:rPr>
          <w:rFonts w:hint="eastAsia" w:ascii="方正小标宋_GBK" w:hAnsi="方正小标宋_GBK" w:eastAsia="方正小标宋_GBK" w:cs="方正小标宋_GBK"/>
          <w:color w:val="000000"/>
          <w:sz w:val="32"/>
          <w:szCs w:val="32"/>
          <w:lang w:val="en-US" w:eastAsia="zh-CN"/>
        </w:rPr>
        <w:t>得分</w:t>
      </w:r>
      <w:r>
        <w:rPr>
          <w:rFonts w:hint="eastAsia" w:ascii="方正小标宋_GBK" w:hAnsi="方正小标宋_GBK" w:eastAsia="方正小标宋_GBK" w:cs="方正小标宋_GBK"/>
          <w:color w:val="000000"/>
          <w:sz w:val="32"/>
          <w:szCs w:val="32"/>
        </w:rPr>
        <w:t>评估</w:t>
      </w:r>
      <w:r>
        <w:rPr>
          <w:rFonts w:hint="eastAsia" w:ascii="方正小标宋_GBK" w:hAnsi="方正小标宋_GBK" w:eastAsia="方正小标宋_GBK" w:cs="方正小标宋_GBK"/>
          <w:color w:val="000000"/>
          <w:sz w:val="32"/>
          <w:szCs w:val="32"/>
          <w:lang w:val="en-US" w:eastAsia="zh-CN"/>
        </w:rPr>
        <w:t>得分</w:t>
      </w:r>
      <w:r>
        <w:rPr>
          <w:rFonts w:hint="eastAsia" w:ascii="方正小标宋_GBK" w:hAnsi="方正小标宋_GBK" w:eastAsia="方正小标宋_GBK" w:cs="方正小标宋_GBK"/>
          <w:color w:val="000000"/>
          <w:sz w:val="32"/>
          <w:szCs w:val="32"/>
        </w:rPr>
        <w:t>表</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default"/>
          <w:lang w:val="en-US" w:eastAsia="zh-CN"/>
        </w:rPr>
      </w:pPr>
      <w:r>
        <w:rPr>
          <w:rFonts w:hint="eastAsia"/>
          <w:lang w:val="en-US" w:eastAsia="zh-CN"/>
        </w:rPr>
        <w:t>填报单位（盖章）：                                      填报日期：2024年  月  日</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r>
        <w:rPr>
          <w:rFonts w:hint="eastAsia"/>
          <w:lang w:val="en-US" w:eastAsia="zh-CN"/>
        </w:rPr>
        <w:t xml:space="preserve">线上培训平台名称及网址：     </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r>
        <w:rPr>
          <w:rFonts w:hint="eastAsia"/>
          <w:lang w:val="en-US" w:eastAsia="zh-CN"/>
        </w:rPr>
        <w:t xml:space="preserve">      </w:t>
      </w:r>
    </w:p>
    <w:tbl>
      <w:tblPr>
        <w:tblStyle w:val="8"/>
        <w:tblW w:w="10095"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60"/>
        <w:gridCol w:w="1170"/>
        <w:gridCol w:w="5506"/>
        <w:gridCol w:w="769"/>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3000" w:type="dxa"/>
            <w:gridSpan w:val="3"/>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评估指标</w:t>
            </w:r>
          </w:p>
        </w:tc>
        <w:tc>
          <w:tcPr>
            <w:tcW w:w="5506"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b/>
                <w:bCs/>
                <w:color w:val="000000"/>
                <w:szCs w:val="21"/>
              </w:rPr>
              <w:t>内容要求</w:t>
            </w:r>
          </w:p>
        </w:tc>
        <w:tc>
          <w:tcPr>
            <w:tcW w:w="769"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分值</w:t>
            </w:r>
          </w:p>
        </w:tc>
        <w:tc>
          <w:tcPr>
            <w:tcW w:w="82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lang w:eastAsia="zh-CN"/>
              </w:rPr>
            </w:pPr>
            <w:r>
              <w:rPr>
                <w:rFonts w:hint="eastAsia" w:ascii="宋体" w:hAnsi="宋体" w:eastAsia="宋体" w:cs="宋体"/>
                <w:b/>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一级</w:t>
            </w:r>
          </w:p>
        </w:tc>
        <w:tc>
          <w:tcPr>
            <w:tcW w:w="96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二级</w:t>
            </w:r>
          </w:p>
        </w:tc>
        <w:tc>
          <w:tcPr>
            <w:tcW w:w="1170" w:type="dxa"/>
            <w:vAlign w:val="center"/>
          </w:tcPr>
          <w:p>
            <w:pPr>
              <w:pStyle w:val="11"/>
              <w:tabs>
                <w:tab w:val="center" w:pos="709"/>
                <w:tab w:val="clear" w:pos="4201"/>
              </w:tabs>
              <w:snapToGrid w:val="0"/>
              <w:ind w:firstLine="0" w:firstLineChars="0"/>
              <w:jc w:val="center"/>
              <w:rPr>
                <w:rFonts w:hint="eastAsia" w:ascii="宋体" w:hAnsi="宋体" w:eastAsia="宋体" w:cs="宋体"/>
                <w:b/>
                <w:color w:val="000000"/>
                <w:szCs w:val="21"/>
              </w:rPr>
            </w:pPr>
            <w:r>
              <w:rPr>
                <w:rFonts w:hint="eastAsia" w:ascii="宋体" w:hAnsi="宋体" w:eastAsia="宋体" w:cs="宋体"/>
                <w:b/>
                <w:color w:val="000000"/>
                <w:szCs w:val="21"/>
              </w:rPr>
              <w:t>三级</w:t>
            </w:r>
          </w:p>
        </w:tc>
        <w:tc>
          <w:tcPr>
            <w:tcW w:w="5506" w:type="dxa"/>
            <w:vMerge w:val="continue"/>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p>
        </w:tc>
        <w:tc>
          <w:tcPr>
            <w:tcW w:w="769"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82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资源目标（15分）</w:t>
            </w:r>
          </w:p>
        </w:tc>
        <w:tc>
          <w:tcPr>
            <w:tcW w:w="9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适用对象（6分）</w:t>
            </w: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对象类别</w:t>
            </w: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包含资源适用的学习对象类别，包括但不限于：在校生、企业职工、退役军人、高校毕业生、农村转移劳动力、失业人员</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前置要求</w:t>
            </w: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对学习者学习此资源需要具备的前置条件及要求进行说明</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资源分类（3分）</w:t>
            </w: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资源按照培训适用的领域进行分类，分类包括但不限于：通用素质类、职业技能类、专项职业能力类、创新创业类</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适用标准（3分）</w:t>
            </w: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资源开发符合标准规范要求，标准规范包括但不限于：国家职业标准、专项职业能力考核规范、企业岗位规范</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资源应用（3分）</w:t>
            </w: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资源按照标准规范中知识点和技能点的要求组织开发建设，支持面向不同学习者灵活组织培训课程。资源采用通用格式与标准，具有兼容性，保证学习者能够使用主流浏览器与通用播放软件进行学习</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资源构成（22分）</w:t>
            </w:r>
          </w:p>
        </w:tc>
        <w:tc>
          <w:tcPr>
            <w:tcW w:w="9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课程（16分）</w:t>
            </w: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资源介绍</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资源介绍包括资源名称、总学时、适用学习对象及主要学习内容、培训项目特点、培训方式及组织形式等内容</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培训大纲</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培训大纲包括培训大纲说明、培训目标、培训对象、培训内容与教学建议、培训时长、培训评价等内容</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资源主体</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资源主体包括文本、图形/图像、音频、视频、动画、3D、交互式课件、仿真模拟、虚拟现实、增强现实等多媒体文件</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18"/>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指导说明</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培训指导说明包括培训思路和方法、培训方式和素材应用、培训任务解析、培训建议、培训效果检测等，结合培训内容结构展开</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素材（6分）</w:t>
            </w:r>
          </w:p>
        </w:tc>
        <w:tc>
          <w:tcPr>
            <w:tcW w:w="1170" w:type="dxa"/>
            <w:vAlign w:val="center"/>
          </w:tcPr>
          <w:p>
            <w:pPr>
              <w:pStyle w:val="11"/>
              <w:tabs>
                <w:tab w:val="center" w:pos="318"/>
                <w:tab w:val="clear" w:pos="4201"/>
              </w:tabs>
              <w:snapToGrid w:val="0"/>
              <w:ind w:left="51" w:leftChars="16"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素材清单</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素材清单对素材的类别、格式、数量、对应的培训大纲进行说明</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18"/>
                <w:tab w:val="clear" w:pos="4201"/>
              </w:tabs>
              <w:snapToGrid w:val="0"/>
              <w:ind w:left="51" w:leftChars="16"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素材设计开发</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素材文件的设计和开发针对培养相关职业（岗位）的能力所需的培训重点、难点选择需要的表现形式，形式包括但不限于：文本、图形/图像、音频、视频、动画</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资源内容（45分）</w:t>
            </w:r>
          </w:p>
        </w:tc>
        <w:tc>
          <w:tcPr>
            <w:tcW w:w="96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内容质量（32分）</w:t>
            </w: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培训场景设计</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培训场景的设计须与培训目标相匹配。除多媒体课堂讲授外，可利用软件操作录屏、实物操作录像、工作场景录像、交互式业务仿真、虚拟现实等实景实操类形式，为不同需求的培训对象，提供个性化的课程，促进培训目标的达成</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960" w:type="dxa"/>
            <w:vMerge w:val="continue"/>
            <w:vAlign w:val="center"/>
          </w:tcPr>
          <w:p>
            <w:pPr>
              <w:adjustRightInd w:val="0"/>
              <w:snapToGrid w:val="0"/>
              <w:jc w:val="center"/>
              <w:rPr>
                <w:rFonts w:hint="eastAsia" w:ascii="宋体" w:hAnsi="宋体" w:eastAsia="宋体" w:cs="宋体"/>
                <w:color w:val="000000"/>
                <w:sz w:val="21"/>
                <w:szCs w:val="21"/>
              </w:rPr>
            </w:pPr>
          </w:p>
        </w:tc>
        <w:tc>
          <w:tcPr>
            <w:tcW w:w="1170" w:type="dxa"/>
            <w:vAlign w:val="center"/>
          </w:tcPr>
          <w:p>
            <w:pPr>
              <w:pStyle w:val="11"/>
              <w:tabs>
                <w:tab w:val="center" w:pos="337"/>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教学环节安排</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资源教学环节为培训对象提供符合能力提升规律的教与学的安排，除回顾、导学、讲授等普通教学环节外，根据培训需求安排演示、操作示范、案例分析、提问、练习等引导类教学环节</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960" w:type="dxa"/>
            <w:vMerge w:val="continue"/>
            <w:vAlign w:val="center"/>
          </w:tcPr>
          <w:p>
            <w:pPr>
              <w:adjustRightInd w:val="0"/>
              <w:snapToGrid w:val="0"/>
              <w:jc w:val="center"/>
              <w:rPr>
                <w:rFonts w:hint="eastAsia" w:ascii="宋体" w:hAnsi="宋体" w:eastAsia="宋体" w:cs="宋体"/>
                <w:color w:val="000000"/>
                <w:sz w:val="21"/>
                <w:szCs w:val="21"/>
              </w:rPr>
            </w:pP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教师授课表现</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参与资源录制的教师着装得体、精神饱满、态度认真、语音标准、语速得当、表达准确、节奏适度</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960" w:type="dxa"/>
            <w:vMerge w:val="continue"/>
            <w:vAlign w:val="center"/>
          </w:tcPr>
          <w:p>
            <w:pPr>
              <w:adjustRightInd w:val="0"/>
              <w:snapToGrid w:val="0"/>
              <w:jc w:val="center"/>
              <w:rPr>
                <w:rFonts w:hint="eastAsia" w:ascii="宋体" w:hAnsi="宋体" w:eastAsia="宋体" w:cs="宋体"/>
                <w:color w:val="000000"/>
                <w:sz w:val="21"/>
                <w:szCs w:val="21"/>
              </w:rPr>
            </w:pP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资源内容对标</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资源内容符合国家职业标准、专项职业能力考核规范、企业岗位规范等要求，知识点、技能点能与相应规范标准内容对应</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960" w:type="dxa"/>
            <w:vMerge w:val="restart"/>
            <w:vAlign w:val="center"/>
          </w:tcPr>
          <w:p>
            <w:pPr>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内容安全（13分）</w:t>
            </w: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知识产权保护</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资源内容所使用的素材，如图片、视频、肖像、字体、配乐等资源需具有独立知识产权或版权方的授权使用证明，不得使用未授权的素材资源</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70" w:type="dxa"/>
            <w:vMerge w:val="continue"/>
            <w:vAlign w:val="center"/>
          </w:tcPr>
          <w:p>
            <w:pPr>
              <w:adjustRightInd w:val="0"/>
              <w:snapToGrid w:val="0"/>
              <w:jc w:val="center"/>
              <w:rPr>
                <w:rFonts w:hint="eastAsia" w:ascii="宋体" w:hAnsi="宋体" w:eastAsia="宋体" w:cs="宋体"/>
                <w:color w:val="000000"/>
                <w:sz w:val="21"/>
                <w:szCs w:val="21"/>
              </w:rPr>
            </w:pPr>
          </w:p>
        </w:tc>
        <w:tc>
          <w:tcPr>
            <w:tcW w:w="960" w:type="dxa"/>
            <w:vMerge w:val="continue"/>
            <w:vAlign w:val="center"/>
          </w:tcPr>
          <w:p>
            <w:pPr>
              <w:adjustRightInd w:val="0"/>
              <w:snapToGrid w:val="0"/>
              <w:jc w:val="center"/>
              <w:rPr>
                <w:rFonts w:hint="eastAsia" w:ascii="宋体" w:hAnsi="宋体" w:eastAsia="宋体" w:cs="宋体"/>
                <w:color w:val="000000"/>
                <w:sz w:val="21"/>
                <w:szCs w:val="21"/>
              </w:rPr>
            </w:pP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合法合规</w:t>
            </w:r>
          </w:p>
        </w:tc>
        <w:tc>
          <w:tcPr>
            <w:tcW w:w="5506"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资源内容具有严格的审校过程，资源中不得含有法律、行政法规和国家规定禁止的内容</w:t>
            </w:r>
          </w:p>
        </w:tc>
        <w:tc>
          <w:tcPr>
            <w:tcW w:w="769"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820" w:type="dxa"/>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87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服务团队（18分）</w:t>
            </w:r>
          </w:p>
        </w:tc>
        <w:tc>
          <w:tcPr>
            <w:tcW w:w="9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开发团队（4分）</w:t>
            </w: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根据资源评价制定整改措施，进行优化和改进；注重服务对象的满意度和服务效能的提升，持续提高资源质量</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5506" w:type="dxa"/>
            <w:vAlign w:val="center"/>
          </w:tcPr>
          <w:p>
            <w:pPr>
              <w:pStyle w:val="14"/>
              <w:numPr>
                <w:ilvl w:val="2"/>
                <w:numId w:val="0"/>
              </w:numPr>
              <w:tabs>
                <w:tab w:val="center" w:pos="709"/>
              </w:tabs>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具有资源开发的管理与评价制度，以及与资源开发内容相适应的资源开发团队，团队成员结构合理、分工明确</w:t>
            </w:r>
          </w:p>
        </w:tc>
        <w:tc>
          <w:tcPr>
            <w:tcW w:w="769" w:type="dxa"/>
            <w:vAlign w:val="center"/>
          </w:tcPr>
          <w:p>
            <w:pPr>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0" w:type="dxa"/>
            <w:vAlign w:val="center"/>
          </w:tcPr>
          <w:p>
            <w:pPr>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师资团队（10分）</w:t>
            </w: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5506" w:type="dxa"/>
            <w:vAlign w:val="center"/>
          </w:tcPr>
          <w:p>
            <w:pPr>
              <w:pStyle w:val="11"/>
              <w:tabs>
                <w:tab w:val="center" w:pos="709"/>
                <w:tab w:val="clear" w:pos="4201"/>
              </w:tabs>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建立师资管理机制，对师资资质及背景、工作职责分工、行为规范、考核评价等方面进行规范</w:t>
            </w:r>
          </w:p>
        </w:tc>
        <w:tc>
          <w:tcPr>
            <w:tcW w:w="769"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根据资源建设规模及复杂程度，配备人数适宜、结构合理的师资团队。团队人员具有相关师资任职资格</w:t>
            </w:r>
          </w:p>
        </w:tc>
        <w:tc>
          <w:tcPr>
            <w:tcW w:w="769"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restart"/>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在线学习服务团队（4分）</w:t>
            </w: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工作职责与制度</w:t>
            </w:r>
          </w:p>
        </w:tc>
        <w:tc>
          <w:tcPr>
            <w:tcW w:w="5506" w:type="dxa"/>
            <w:vAlign w:val="center"/>
          </w:tcPr>
          <w:p>
            <w:pPr>
              <w:pStyle w:val="11"/>
              <w:snapToGrid w:val="0"/>
              <w:ind w:firstLine="0" w:firstLineChars="0"/>
              <w:rPr>
                <w:rFonts w:hint="eastAsia" w:ascii="宋体" w:hAnsi="宋体" w:eastAsia="宋体" w:cs="宋体"/>
                <w:color w:val="000000"/>
                <w:szCs w:val="21"/>
              </w:rPr>
            </w:pPr>
            <w:r>
              <w:rPr>
                <w:rFonts w:hint="eastAsia" w:ascii="宋体" w:hAnsi="宋体" w:eastAsia="宋体" w:cs="宋体"/>
                <w:color w:val="000000"/>
                <w:szCs w:val="21"/>
              </w:rPr>
              <w:t>资源的在线学习服务团队为培训对象使用资源提供学习咨询、问题解答、投诉反馈等服务</w:t>
            </w:r>
          </w:p>
        </w:tc>
        <w:tc>
          <w:tcPr>
            <w:tcW w:w="769"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87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960" w:type="dxa"/>
            <w:vMerge w:val="continue"/>
            <w:vAlign w:val="center"/>
          </w:tcPr>
          <w:p>
            <w:pPr>
              <w:pStyle w:val="11"/>
              <w:tabs>
                <w:tab w:val="center" w:pos="709"/>
                <w:tab w:val="clear" w:pos="4201"/>
              </w:tabs>
              <w:snapToGrid w:val="0"/>
              <w:ind w:firstLine="0" w:firstLineChars="0"/>
              <w:jc w:val="center"/>
              <w:rPr>
                <w:rFonts w:hint="eastAsia" w:ascii="宋体" w:hAnsi="宋体" w:eastAsia="宋体" w:cs="宋体"/>
                <w:color w:val="000000"/>
                <w:szCs w:val="21"/>
              </w:rPr>
            </w:pPr>
          </w:p>
        </w:tc>
        <w:tc>
          <w:tcPr>
            <w:tcW w:w="117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Cs w:val="21"/>
              </w:rPr>
            </w:pPr>
            <w:r>
              <w:rPr>
                <w:rFonts w:hint="eastAsia" w:ascii="宋体" w:hAnsi="宋体" w:eastAsia="宋体" w:cs="宋体"/>
                <w:color w:val="000000"/>
                <w:szCs w:val="21"/>
              </w:rPr>
              <w:t>人员资质与数量</w:t>
            </w:r>
          </w:p>
        </w:tc>
        <w:tc>
          <w:tcPr>
            <w:tcW w:w="5506" w:type="dxa"/>
            <w:vAlign w:val="center"/>
          </w:tcPr>
          <w:p>
            <w:pPr>
              <w:snapToGrid w:val="0"/>
              <w:jc w:val="both"/>
              <w:rPr>
                <w:rFonts w:hint="eastAsia" w:ascii="宋体" w:hAnsi="宋体" w:eastAsia="宋体" w:cs="宋体"/>
                <w:color w:val="000000"/>
                <w:sz w:val="21"/>
                <w:szCs w:val="21"/>
              </w:rPr>
            </w:pPr>
            <w:r>
              <w:rPr>
                <w:rFonts w:hint="eastAsia" w:ascii="宋体" w:hAnsi="宋体" w:eastAsia="宋体" w:cs="宋体"/>
                <w:color w:val="000000"/>
                <w:sz w:val="21"/>
                <w:szCs w:val="21"/>
              </w:rPr>
              <w:t>根据培训对象的人数，配备人数适宜、结构合理的在线学习服务团队。在线学习服务团队人员具有在线学习服务师任职资格</w:t>
            </w:r>
          </w:p>
        </w:tc>
        <w:tc>
          <w:tcPr>
            <w:tcW w:w="769"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0" w:type="dxa"/>
            <w:vAlign w:val="center"/>
          </w:tcPr>
          <w:p>
            <w:pPr>
              <w:pStyle w:val="14"/>
              <w:numPr>
                <w:ilvl w:val="2"/>
                <w:numId w:val="0"/>
              </w:numPr>
              <w:tabs>
                <w:tab w:val="center" w:pos="709"/>
              </w:tabs>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9275" w:type="dxa"/>
            <w:gridSpan w:val="5"/>
            <w:vAlign w:val="center"/>
          </w:tcPr>
          <w:p>
            <w:pPr>
              <w:pStyle w:val="11"/>
              <w:tabs>
                <w:tab w:val="center" w:pos="709"/>
                <w:tab w:val="clear" w:pos="4201"/>
              </w:tabs>
              <w:snapToGrid w:val="0"/>
              <w:ind w:firstLine="0" w:firstLineChars="0"/>
              <w:jc w:val="center"/>
              <w:rPr>
                <w:rFonts w:hint="eastAsia" w:ascii="宋体" w:hAnsi="宋体" w:eastAsia="宋体" w:cs="宋体"/>
                <w:color w:val="000000"/>
                <w:sz w:val="21"/>
                <w:szCs w:val="21"/>
              </w:rPr>
            </w:pPr>
            <w:r>
              <w:rPr>
                <w:rFonts w:hint="eastAsia" w:ascii="宋体" w:hAnsi="宋体" w:eastAsia="宋体" w:cs="宋体"/>
                <w:color w:val="000000"/>
                <w:szCs w:val="21"/>
                <w:lang w:val="en-US" w:eastAsia="zh-CN"/>
              </w:rPr>
              <w:t>总计得分</w:t>
            </w:r>
          </w:p>
        </w:tc>
        <w:tc>
          <w:tcPr>
            <w:tcW w:w="820" w:type="dxa"/>
            <w:vAlign w:val="center"/>
          </w:tcPr>
          <w:p>
            <w:pPr>
              <w:pStyle w:val="11"/>
              <w:tabs>
                <w:tab w:val="center" w:pos="344"/>
                <w:tab w:val="clear" w:pos="4201"/>
              </w:tabs>
              <w:snapToGrid w:val="0"/>
              <w:ind w:firstLine="0" w:firstLineChars="0"/>
              <w:jc w:val="center"/>
              <w:rPr>
                <w:rFonts w:hint="eastAsia" w:ascii="宋体" w:hAnsi="宋体" w:eastAsia="宋体" w:cs="宋体"/>
                <w:color w:val="000000"/>
                <w:sz w:val="21"/>
                <w:szCs w:val="21"/>
              </w:rPr>
            </w:pPr>
          </w:p>
        </w:tc>
      </w:tr>
    </w:tbl>
    <w:p>
      <w:pPr>
        <w:pStyle w:val="11"/>
        <w:rPr>
          <w:rFonts w:hint="eastAsia"/>
          <w:lang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spacing w:line="596" w:lineRule="exact"/>
        <w:textAlignment w:val="top"/>
        <w:rPr>
          <w:rFonts w:hint="eastAsia" w:ascii="黑体" w:hAnsi="黑体" w:eastAsia="黑体" w:cs="黑体"/>
          <w:lang w:val="en-US" w:eastAsia="zh-CN"/>
        </w:rPr>
      </w:pPr>
      <w:r>
        <w:rPr>
          <w:rFonts w:hint="eastAsia" w:ascii="黑体" w:hAnsi="黑体" w:eastAsia="黑体" w:cs="黑体"/>
          <w:lang w:val="en-US" w:eastAsia="zh-CN"/>
        </w:rPr>
        <w:t>附件</w:t>
      </w:r>
      <w:r>
        <w:rPr>
          <w:rFonts w:hint="default" w:ascii="黑体" w:hAnsi="黑体" w:eastAsia="黑体" w:cs="黑体"/>
          <w:lang w:val="en-US" w:eastAsia="zh-CN"/>
        </w:rPr>
        <w:t>3</w:t>
      </w:r>
    </w:p>
    <w:p>
      <w:pPr>
        <w:spacing w:line="596" w:lineRule="exact"/>
        <w:jc w:val="center"/>
        <w:textAlignment w:val="top"/>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职业技能线上培训平台及数字资源推荐表</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ascii="仿宋_GB2312" w:hAnsi="仿宋_GB2312" w:eastAsia="仿宋_GB2312" w:cs="仿宋_GB2312"/>
          <w:sz w:val="28"/>
          <w:szCs w:val="24"/>
          <w:lang w:val="en-US" w:eastAsia="zh-CN"/>
        </w:rPr>
      </w:pPr>
      <w:r>
        <w:rPr>
          <w:rFonts w:hint="eastAsia" w:ascii="仿宋_GB2312" w:hAnsi="仿宋_GB2312" w:eastAsia="仿宋_GB2312" w:cs="仿宋_GB2312"/>
          <w:sz w:val="28"/>
          <w:szCs w:val="24"/>
          <w:lang w:val="en-US" w:eastAsia="zh-CN"/>
        </w:rPr>
        <w:t xml:space="preserve">填报单位（盖章）：                 </w:t>
      </w:r>
      <w:bookmarkStart w:id="121" w:name="_GoBack"/>
      <w:bookmarkEnd w:id="121"/>
      <w:r>
        <w:rPr>
          <w:rFonts w:hint="eastAsia" w:ascii="仿宋_GB2312" w:hAnsi="仿宋_GB2312" w:eastAsia="仿宋_GB2312" w:cs="仿宋_GB2312"/>
          <w:sz w:val="28"/>
          <w:szCs w:val="24"/>
          <w:lang w:val="en-US" w:eastAsia="zh-CN"/>
        </w:rPr>
        <w:t xml:space="preserve">    填报日期：2024年  月  日</w:t>
      </w: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ascii="仿宋_GB2312" w:hAnsi="仿宋_GB2312" w:eastAsia="仿宋_GB2312" w:cs="仿宋_GB2312"/>
          <w:sz w:val="28"/>
          <w:szCs w:val="24"/>
          <w:lang w:val="en-US" w:eastAsia="zh-CN"/>
        </w:rPr>
      </w:pPr>
    </w:p>
    <w:tbl>
      <w:tblPr>
        <w:tblStyle w:val="9"/>
        <w:tblW w:w="10491" w:type="dxa"/>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20"/>
        <w:gridCol w:w="1834"/>
        <w:gridCol w:w="1920"/>
        <w:gridCol w:w="2314"/>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806" w:type="dxa"/>
            <w:vMerge w:val="restart"/>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序号</w:t>
            </w:r>
          </w:p>
        </w:tc>
        <w:tc>
          <w:tcPr>
            <w:tcW w:w="1920" w:type="dxa"/>
            <w:vMerge w:val="restart"/>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线上培训平台名称及网址</w:t>
            </w:r>
          </w:p>
        </w:tc>
        <w:tc>
          <w:tcPr>
            <w:tcW w:w="7765" w:type="dxa"/>
            <w:gridSpan w:val="4"/>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数字资源名称（列出详细课程名称）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trPr>
        <w:tc>
          <w:tcPr>
            <w:tcW w:w="806" w:type="dxa"/>
            <w:vMerge w:val="continue"/>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p>
        </w:tc>
        <w:tc>
          <w:tcPr>
            <w:tcW w:w="1920" w:type="dxa"/>
            <w:vMerge w:val="continue"/>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p>
        </w:tc>
        <w:tc>
          <w:tcPr>
            <w:tcW w:w="183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通用素质类</w:t>
            </w: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职业技能类</w:t>
            </w:r>
          </w:p>
        </w:tc>
        <w:tc>
          <w:tcPr>
            <w:tcW w:w="231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专项职业能力类</w:t>
            </w:r>
          </w:p>
        </w:tc>
        <w:tc>
          <w:tcPr>
            <w:tcW w:w="1697"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黑体" w:hAnsi="黑体" w:eastAsia="黑体" w:cs="黑体"/>
                <w:sz w:val="28"/>
                <w:szCs w:val="24"/>
                <w:vertAlign w:val="baseline"/>
                <w:lang w:val="en-US" w:eastAsia="zh-CN"/>
              </w:rPr>
            </w:pPr>
            <w:r>
              <w:rPr>
                <w:rFonts w:hint="eastAsia" w:ascii="黑体" w:hAnsi="黑体" w:eastAsia="黑体" w:cs="黑体"/>
                <w:sz w:val="28"/>
                <w:szCs w:val="24"/>
                <w:vertAlign w:val="baseline"/>
                <w:lang w:val="en-US" w:eastAsia="zh-CN"/>
              </w:rPr>
              <w:t>创新创业类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806"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1</w:t>
            </w: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83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（1）</w:t>
            </w:r>
          </w:p>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（2）</w:t>
            </w:r>
          </w:p>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both"/>
              <w:textAlignment w:val="auto"/>
              <w:rPr>
                <w:rFonts w:hint="eastAsia"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（3）</w:t>
            </w:r>
          </w:p>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both"/>
              <w:textAlignment w:val="auto"/>
              <w:rPr>
                <w:rFonts w:hint="default"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w:t>
            </w: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231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697"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3" w:hRule="atLeast"/>
        </w:trPr>
        <w:tc>
          <w:tcPr>
            <w:tcW w:w="806"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2</w:t>
            </w: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83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231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697"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806"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ind w:left="0" w:leftChars="0" w:firstLine="0" w:firstLineChars="0"/>
              <w:jc w:val="center"/>
              <w:textAlignment w:val="auto"/>
              <w:rPr>
                <w:rFonts w:hint="default" w:ascii="仿宋_GB2312" w:hAnsi="仿宋_GB2312" w:eastAsia="仿宋_GB2312" w:cs="仿宋_GB2312"/>
                <w:sz w:val="28"/>
                <w:szCs w:val="24"/>
                <w:vertAlign w:val="baseline"/>
                <w:lang w:val="en-US" w:eastAsia="zh-CN"/>
              </w:rPr>
            </w:pPr>
            <w:r>
              <w:rPr>
                <w:rFonts w:hint="eastAsia" w:ascii="仿宋_GB2312" w:hAnsi="仿宋_GB2312" w:eastAsia="仿宋_GB2312" w:cs="仿宋_GB2312"/>
                <w:sz w:val="28"/>
                <w:szCs w:val="24"/>
                <w:vertAlign w:val="baseline"/>
                <w:lang w:val="en-US" w:eastAsia="zh-CN"/>
              </w:rPr>
              <w:t>3</w:t>
            </w: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83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920"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2314"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c>
          <w:tcPr>
            <w:tcW w:w="1697" w:type="dxa"/>
            <w:vAlign w:val="center"/>
          </w:tcPr>
          <w:p>
            <w:pPr>
              <w:pStyle w:val="11"/>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仿宋_GB2312" w:hAnsi="仿宋_GB2312" w:eastAsia="仿宋_GB2312" w:cs="仿宋_GB2312"/>
                <w:sz w:val="28"/>
                <w:szCs w:val="24"/>
                <w:vertAlign w:val="baseline"/>
                <w:lang w:val="en-US" w:eastAsia="zh-CN"/>
              </w:rPr>
            </w:pPr>
          </w:p>
        </w:tc>
      </w:tr>
    </w:tbl>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eastAsia"/>
          <w:lang w:val="en-US" w:eastAsia="zh-CN"/>
        </w:rPr>
      </w:pPr>
    </w:p>
    <w:p>
      <w:pPr>
        <w:pStyle w:val="11"/>
        <w:keepNext w:val="0"/>
        <w:keepLines w:val="0"/>
        <w:pageBreakBefore w:val="0"/>
        <w:widowControl/>
        <w:kinsoku/>
        <w:wordWrap/>
        <w:overflowPunct/>
        <w:topLinePunct w:val="0"/>
        <w:autoSpaceDE w:val="0"/>
        <w:autoSpaceDN w:val="0"/>
        <w:bidi w:val="0"/>
        <w:adjustRightInd/>
        <w:snapToGrid/>
        <w:spacing w:line="360" w:lineRule="exact"/>
        <w:ind w:firstLine="0" w:firstLineChars="0"/>
        <w:textAlignment w:val="auto"/>
        <w:rPr>
          <w:rFonts w:hint="default"/>
          <w:lang w:val="en-US" w:eastAsia="zh-CN"/>
        </w:rPr>
      </w:pPr>
    </w:p>
    <w:p>
      <w:pPr>
        <w:spacing w:line="596" w:lineRule="exact"/>
        <w:textAlignment w:val="top"/>
        <w:rPr>
          <w:rFonts w:hint="eastAsia" w:ascii="黑体" w:hAnsi="黑体" w:eastAsia="黑体" w:cs="黑体"/>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仿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4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ZK38S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l23K5TG+&#10;PiTqpjSZK1xgp8I0ukJzWrO8G7/fS9bTz7D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A2&#10;St/EtgEAAFQDAAAOAAAAAAAAAAEAIAAAAB8BAABkcnMvZTJvRG9jLnhtbFBLBQYAAAAABgAGAFkB&#10;AABHBQAAAAA=&#10;">
              <v:path/>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4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kT++QbcBAABUAwAADgAAAAAAAAABACAAAAAfAQAAZHJzL2Uyb0RvYy54bWxQSwUGAAAAAAYABgBZ&#10;AQAASAUAAAAA&#10;">
              <v:path/>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4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path/>
              <v:fill on="f" focussize="0,0"/>
              <v:stroke on="f" weight="0.5pt"/>
              <v:imagedata o:title=""/>
              <o:lock v:ext="edit" aspectratio="f"/>
              <v:textbox inset="0mm,0mm,0mm,0mm" style="mso-fit-shape-to-text:t;">
                <w:txbxContent>
                  <w:p>
                    <w:pPr>
                      <w:widowControl w:val="0"/>
                      <w:snapToGrid w:val="0"/>
                      <w:jc w:val="righ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0</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4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ascii="Times New Roman" w:hAnsi="Times New Roman" w:eastAsia="仿宋_GB2312" w:cs="Times New Roman"/>
                              <w:kern w:val="2"/>
                              <w:sz w:val="18"/>
                              <w:szCs w:val="18"/>
                              <w:lang w:val="en-US" w:eastAsia="zh-CN" w:bidi="ar-SA"/>
                            </w:rPr>
                          </w:pPr>
                          <w:r>
                            <w:rPr>
                              <w:rFonts w:ascii="Times New Roman" w:hAnsi="Times New Roman" w:cs="Times New Roman"/>
                              <w:kern w:val="2"/>
                              <w:sz w:val="18"/>
                              <w:szCs w:val="18"/>
                              <w:lang w:val="en-US" w:eastAsia="zh-CN" w:bidi="ar-SA"/>
                            </w:rPr>
                            <w:t xml:space="preserve">— </w:t>
                          </w:r>
                          <w:r>
                            <w:rPr>
                              <w:rFonts w:ascii="Times New Roman" w:hAnsi="Times New Roman" w:cs="Times New Roman"/>
                              <w:kern w:val="2"/>
                              <w:sz w:val="18"/>
                              <w:szCs w:val="18"/>
                              <w:lang w:val="en-US" w:eastAsia="zh-CN" w:bidi="ar-SA"/>
                            </w:rPr>
                            <w:fldChar w:fldCharType="begin"/>
                          </w:r>
                          <w:r>
                            <w:rPr>
                              <w:rFonts w:ascii="Times New Roman" w:hAnsi="Times New Roman" w:cs="Times New Roman"/>
                              <w:kern w:val="2"/>
                              <w:sz w:val="18"/>
                              <w:szCs w:val="18"/>
                              <w:lang w:val="en-US" w:eastAsia="zh-CN" w:bidi="ar-SA"/>
                            </w:rPr>
                            <w:instrText xml:space="preserve"> PAGE  \* MERGEFORMAT </w:instrText>
                          </w:r>
                          <w:r>
                            <w:rPr>
                              <w:rFonts w:ascii="Times New Roman" w:hAnsi="Times New Roman" w:cs="Times New Roman"/>
                              <w:kern w:val="2"/>
                              <w:sz w:val="18"/>
                              <w:szCs w:val="18"/>
                              <w:lang w:val="en-US" w:eastAsia="zh-CN" w:bidi="ar-SA"/>
                            </w:rPr>
                            <w:fldChar w:fldCharType="separate"/>
                          </w:r>
                          <w:r>
                            <w:rPr>
                              <w:rFonts w:ascii="Times New Roman" w:hAnsi="Times New Roman" w:cs="Times New Roman"/>
                              <w:kern w:val="2"/>
                              <w:sz w:val="18"/>
                              <w:szCs w:val="18"/>
                              <w:lang w:val="en-US" w:eastAsia="zh-CN" w:bidi="ar-SA"/>
                            </w:rPr>
                            <w:t>1</w:t>
                          </w:r>
                          <w:r>
                            <w:rPr>
                              <w:rFonts w:ascii="Times New Roman" w:hAnsi="Times New Roman" w:cs="Times New Roman"/>
                              <w:kern w:val="2"/>
                              <w:sz w:val="18"/>
                              <w:szCs w:val="18"/>
                              <w:lang w:val="en-US" w:eastAsia="zh-CN" w:bidi="ar-SA"/>
                            </w:rPr>
                            <w:fldChar w:fldCharType="end"/>
                          </w:r>
                          <w:r>
                            <w:rPr>
                              <w:rFonts w:ascii="Times New Roman" w:hAnsi="Times New Roman" w:cs="Times New Roman"/>
                              <w:kern w:val="2"/>
                              <w:sz w:val="18"/>
                              <w:szCs w:val="1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J7SDZC4AQAAVAMAAA4AAAAAAAAAAQAgAAAAHwEAAGRycy9lMm9Eb2MueG1sUEsFBgAAAAAGAAYA&#10;WQEAAEkFAAAAAA==&#10;">
              <v:path/>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仿宋_GB2312" w:cs="Times New Roman"/>
                        <w:kern w:val="2"/>
                        <w:sz w:val="18"/>
                        <w:szCs w:val="18"/>
                        <w:lang w:val="en-US" w:eastAsia="zh-CN" w:bidi="ar-SA"/>
                      </w:rPr>
                    </w:pPr>
                    <w:r>
                      <w:rPr>
                        <w:rFonts w:ascii="Times New Roman" w:hAnsi="Times New Roman" w:cs="Times New Roman"/>
                        <w:kern w:val="2"/>
                        <w:sz w:val="18"/>
                        <w:szCs w:val="18"/>
                        <w:lang w:val="en-US" w:eastAsia="zh-CN" w:bidi="ar-SA"/>
                      </w:rPr>
                      <w:t xml:space="preserve">— </w:t>
                    </w:r>
                    <w:r>
                      <w:rPr>
                        <w:rFonts w:ascii="Times New Roman" w:hAnsi="Times New Roman" w:cs="Times New Roman"/>
                        <w:kern w:val="2"/>
                        <w:sz w:val="18"/>
                        <w:szCs w:val="18"/>
                        <w:lang w:val="en-US" w:eastAsia="zh-CN" w:bidi="ar-SA"/>
                      </w:rPr>
                      <w:fldChar w:fldCharType="begin"/>
                    </w:r>
                    <w:r>
                      <w:rPr>
                        <w:rFonts w:ascii="Times New Roman" w:hAnsi="Times New Roman" w:cs="Times New Roman"/>
                        <w:kern w:val="2"/>
                        <w:sz w:val="18"/>
                        <w:szCs w:val="18"/>
                        <w:lang w:val="en-US" w:eastAsia="zh-CN" w:bidi="ar-SA"/>
                      </w:rPr>
                      <w:instrText xml:space="preserve"> PAGE  \* MERGEFORMAT </w:instrText>
                    </w:r>
                    <w:r>
                      <w:rPr>
                        <w:rFonts w:ascii="Times New Roman" w:hAnsi="Times New Roman" w:cs="Times New Roman"/>
                        <w:kern w:val="2"/>
                        <w:sz w:val="18"/>
                        <w:szCs w:val="18"/>
                        <w:lang w:val="en-US" w:eastAsia="zh-CN" w:bidi="ar-SA"/>
                      </w:rPr>
                      <w:fldChar w:fldCharType="separate"/>
                    </w:r>
                    <w:r>
                      <w:rPr>
                        <w:rFonts w:ascii="Times New Roman" w:hAnsi="Times New Roman" w:cs="Times New Roman"/>
                        <w:kern w:val="2"/>
                        <w:sz w:val="18"/>
                        <w:szCs w:val="18"/>
                        <w:lang w:val="en-US" w:eastAsia="zh-CN" w:bidi="ar-SA"/>
                      </w:rPr>
                      <w:t>1</w:t>
                    </w:r>
                    <w:r>
                      <w:rPr>
                        <w:rFonts w:ascii="Times New Roman" w:hAnsi="Times New Roman" w:cs="Times New Roman"/>
                        <w:kern w:val="2"/>
                        <w:sz w:val="18"/>
                        <w:szCs w:val="18"/>
                        <w:lang w:val="en-US" w:eastAsia="zh-CN" w:bidi="ar-SA"/>
                      </w:rPr>
                      <w:fldChar w:fldCharType="end"/>
                    </w:r>
                    <w:r>
                      <w:rPr>
                        <w:rFonts w:ascii="Times New Roman" w:hAnsi="Times New Roman" w:cs="Times New Roman"/>
                        <w:kern w:val="2"/>
                        <w:sz w:val="18"/>
                        <w:szCs w:val="1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40"/>
      <w:jc w:val="left"/>
      <w:rPr>
        <w:rStyle w:val="6"/>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DBNhPbcBAABUAwAADgAAAAAAAAABACAAAAAfAQAAZHJzL2Uyb0RvYy54bWxQSwUGAAAAAAYABgBZ&#10;AQAASAUAAAAA&#10;">
              <v:path/>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19</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tabs>
        <w:tab w:val="center" w:pos="4033"/>
        <w:tab w:val="left" w:pos="5230"/>
      </w:tabs>
      <w:snapToGrid w:val="0"/>
      <w:ind w:right="24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tab/>
    </w:r>
    <w:r>
      <w:rPr>
        <w:rFonts w:ascii="Times New Roman" w:hAnsi="Times New Roman" w:eastAsia="仿宋_GB2312" w:cs="Times New Roman"/>
        <w:kern w:val="2"/>
        <w:sz w:val="18"/>
        <w:szCs w:val="18"/>
        <w:lang w:val="en-US" w:eastAsia="zh-CN" w:bidi="ar-SA"/>
      </w:rPr>
      <w:tab/>
    </w:r>
  </w:p>
  <w:p>
    <w:pPr>
      <w:widowControl w:val="0"/>
      <w:snapToGrid w:val="0"/>
      <w:ind w:right="240"/>
      <w:jc w:val="left"/>
      <w:rPr>
        <w:rFonts w:ascii="Times New Roman" w:hAnsi="Times New Roman" w:eastAsia="仿宋_GB2312" w:cs="Times New Roman"/>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240"/>
      <w:jc w:val="center"/>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7S7LcBAABUAwAADgAAAAAAAAABACAAAAAfAQAAZHJzL2Uyb0RvYy54bWxQSwUGAAAAAAYABgBZ&#10;AQAASAUAAAAA&#10;">
              <v:path/>
              <v:fill on="f" focussize="0,0"/>
              <v:stroke on="f" weight="0.5pt"/>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22</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p>
    <w:pPr>
      <w:widowControl w:val="0"/>
      <w:snapToGrid w:val="0"/>
      <w:ind w:right="240"/>
      <w:jc w:val="left"/>
      <w:rPr>
        <w:rFonts w:ascii="Times New Roman" w:hAnsi="Times New Roman" w:eastAsia="仿宋_GB2312" w:cs="Times New Roman"/>
        <w:kern w:val="2"/>
        <w:sz w:val="18"/>
        <w:szCs w:val="18"/>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ind w:right="240"/>
      <w:jc w:val="left"/>
      <w:rPr>
        <w:rStyle w:val="6"/>
        <w:rFonts w:ascii="Times New Roman" w:hAnsi="Times New Roman" w:eastAsia="仿宋_GB2312" w:cs="Times New Roman"/>
        <w:kern w:val="2"/>
        <w:sz w:val="18"/>
        <w:szCs w:val="18"/>
        <w:lang w:val="en-US" w:eastAsia="zh-CN" w:bidi="ar-SA"/>
      </w:rPr>
    </w:pPr>
    <w:r>
      <w:rPr>
        <w:rStyle w:val="6"/>
        <w:rFonts w:ascii="Times New Roman" w:hAnsi="Times New Roman" w:eastAsia="仿宋_GB2312" w:cs="Times New Roman"/>
        <w:kern w:val="2"/>
        <w:sz w:val="32"/>
        <w:szCs w:val="24"/>
        <w:lang w:val="en-US" w:eastAsia="zh-CN" w:bidi="ar-SA"/>
      </w:rPr>
      <w:fldChar w:fldCharType="begin"/>
    </w:r>
    <w:r>
      <w:rPr>
        <w:rStyle w:val="6"/>
        <w:rFonts w:ascii="Times New Roman" w:hAnsi="Times New Roman" w:eastAsia="仿宋_GB2312" w:cs="Times New Roman"/>
        <w:kern w:val="2"/>
        <w:sz w:val="32"/>
        <w:szCs w:val="24"/>
        <w:lang w:val="en-US" w:eastAsia="zh-CN" w:bidi="ar-SA"/>
      </w:rPr>
      <w:instrText xml:space="preserve"> PAGE </w:instrText>
    </w:r>
    <w:r>
      <w:rPr>
        <w:rStyle w:val="6"/>
        <w:rFonts w:ascii="Times New Roman" w:hAnsi="Times New Roman" w:eastAsia="仿宋_GB2312" w:cs="Times New Roman"/>
        <w:kern w:val="2"/>
        <w:sz w:val="32"/>
        <w:szCs w:val="24"/>
        <w:lang w:val="en-US" w:eastAsia="zh-CN" w:bidi="ar-SA"/>
      </w:rPr>
      <w:fldChar w:fldCharType="end"/>
    </w:r>
  </w:p>
  <w:p>
    <w:pPr>
      <w:widowControl w:val="0"/>
      <w:snapToGrid w:val="0"/>
      <w:ind w:right="24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ind w:right="24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fldChar w:fldCharType="begin"/>
                          </w:r>
                          <w:r>
                            <w:rPr>
                              <w:rFonts w:ascii="Times New Roman" w:hAnsi="Times New Roman" w:eastAsia="仿宋_GB2312" w:cs="Times New Roman"/>
                              <w:kern w:val="2"/>
                              <w:sz w:val="18"/>
                              <w:szCs w:val="18"/>
                              <w:lang w:val="en-US" w:eastAsia="zh-CN" w:bidi="ar-SA"/>
                            </w:rPr>
                            <w:instrText xml:space="preserve"> PAGE  \* MERGEFORMAT </w:instrText>
                          </w:r>
                          <w:r>
                            <w:rPr>
                              <w:rFonts w:ascii="Times New Roman" w:hAnsi="Times New Roman" w:eastAsia="仿宋_GB2312" w:cs="Times New Roman"/>
                              <w:kern w:val="2"/>
                              <w:sz w:val="18"/>
                              <w:szCs w:val="18"/>
                              <w:lang w:val="en-US" w:eastAsia="zh-CN" w:bidi="ar-SA"/>
                            </w:rPr>
                            <w:fldChar w:fldCharType="separate"/>
                          </w:r>
                          <w:r>
                            <w:rPr>
                              <w:rFonts w:ascii="Times New Roman" w:hAnsi="Times New Roman" w:eastAsia="仿宋_GB2312" w:cs="Times New Roman"/>
                              <w:color w:val="000000"/>
                              <w:kern w:val="2"/>
                              <w:sz w:val="18"/>
                              <w:szCs w:val="18"/>
                              <w:lang w:val="en-US" w:eastAsia="zh-CN" w:bidi="ar-SA"/>
                            </w:rPr>
                            <w:t>2</w:t>
                          </w:r>
                          <w:r>
                            <w:rPr>
                              <w:rFonts w:ascii="Times New Roman" w:hAnsi="Times New Roman" w:eastAsia="仿宋_GB2312"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f+6c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uqZ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J/7pxcCAAAXBAAADgAAAAAA&#10;AAABACAAAAAfAQAAZHJzL2Uyb0RvYy54bWxQSwUGAAAAAAYABgBZAQAAqAUAAAAA&#10;">
              <v:path/>
              <v:fill on="f" focussize="0,0"/>
              <v:stroke on="f" weight="0.5pt"/>
              <v:imagedata o:title=""/>
              <o:lock v:ext="edit" aspectratio="f"/>
              <v:textbox inset="0mm,0mm,0mm,0mm" style="mso-fit-shape-to-text:t;">
                <w:txbxContent>
                  <w:p>
                    <w:pPr>
                      <w:widowControl w:val="0"/>
                      <w:snapToGrid w:val="0"/>
                      <w:ind w:right="240"/>
                      <w:jc w:val="left"/>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w:fldChar w:fldCharType="begin"/>
                    </w:r>
                    <w:r>
                      <w:rPr>
                        <w:rFonts w:ascii="Times New Roman" w:hAnsi="Times New Roman" w:eastAsia="仿宋_GB2312" w:cs="Times New Roman"/>
                        <w:kern w:val="2"/>
                        <w:sz w:val="18"/>
                        <w:szCs w:val="18"/>
                        <w:lang w:val="en-US" w:eastAsia="zh-CN" w:bidi="ar-SA"/>
                      </w:rPr>
                      <w:instrText xml:space="preserve"> PAGE  \* MERGEFORMAT </w:instrText>
                    </w:r>
                    <w:r>
                      <w:rPr>
                        <w:rFonts w:ascii="Times New Roman" w:hAnsi="Times New Roman" w:eastAsia="仿宋_GB2312" w:cs="Times New Roman"/>
                        <w:kern w:val="2"/>
                        <w:sz w:val="18"/>
                        <w:szCs w:val="18"/>
                        <w:lang w:val="en-US" w:eastAsia="zh-CN" w:bidi="ar-SA"/>
                      </w:rPr>
                      <w:fldChar w:fldCharType="separate"/>
                    </w:r>
                    <w:r>
                      <w:rPr>
                        <w:rFonts w:ascii="Times New Roman" w:hAnsi="Times New Roman" w:eastAsia="仿宋_GB2312" w:cs="Times New Roman"/>
                        <w:color w:val="000000"/>
                        <w:kern w:val="2"/>
                        <w:sz w:val="18"/>
                        <w:szCs w:val="18"/>
                        <w:lang w:val="en-US" w:eastAsia="zh-CN" w:bidi="ar-SA"/>
                      </w:rPr>
                      <w:t>2</w:t>
                    </w:r>
                    <w:r>
                      <w:rPr>
                        <w:rFonts w:ascii="Times New Roman" w:hAnsi="Times New Roman" w:eastAsia="仿宋_GB2312"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after="0"/>
      <w:ind w:right="62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A1101"/>
    <w:rsid w:val="554A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next w:val="1"/>
    <w:unhideWhenUsed/>
    <w:qFormat/>
    <w:uiPriority w:val="0"/>
    <w:pPr>
      <w:widowControl w:val="0"/>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toc 3"/>
    <w:next w:val="1"/>
    <w:uiPriority w:val="0"/>
    <w:pPr>
      <w:widowControl w:val="0"/>
      <w:ind w:left="840" w:leftChars="400"/>
      <w:jc w:val="both"/>
    </w:pPr>
    <w:rPr>
      <w:rFonts w:ascii="Times New Roman" w:hAnsi="Times New Roman" w:eastAsia="仿宋_GB2312" w:cs="Times New Roman"/>
      <w:kern w:val="2"/>
      <w:sz w:val="21"/>
      <w:szCs w:val="24"/>
      <w:lang w:val="en-US" w:eastAsia="zh-CN" w:bidi="ar-SA"/>
    </w:rPr>
  </w:style>
  <w:style w:type="paragraph" w:styleId="4">
    <w:name w:val="toc 1"/>
    <w:next w:val="1"/>
    <w:uiPriority w:val="0"/>
    <w:pPr>
      <w:widowControl w:val="0"/>
      <w:jc w:val="both"/>
    </w:pPr>
    <w:rPr>
      <w:rFonts w:ascii="Times New Roman" w:hAnsi="Times New Roman" w:eastAsia="仿宋_GB2312" w:cs="Times New Roman"/>
      <w:kern w:val="2"/>
      <w:sz w:val="21"/>
      <w:szCs w:val="24"/>
      <w:lang w:val="en-US" w:eastAsia="zh-CN" w:bidi="ar-SA"/>
    </w:rPr>
  </w:style>
  <w:style w:type="character" w:styleId="6">
    <w:name w:val="page number"/>
    <w:basedOn w:val="5"/>
    <w:uiPriority w:val="0"/>
  </w:style>
  <w:style w:type="character" w:styleId="7">
    <w:name w:val="Hyperlink"/>
    <w:uiPriority w:val="0"/>
    <w:rPr>
      <w:color w:val="0000FF"/>
      <w:spacing w:val="0"/>
      <w:w w:val="100"/>
      <w:szCs w:val="21"/>
      <w:u w:val="single"/>
    </w:rPr>
  </w:style>
  <w:style w:type="table" w:styleId="9">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目次、标准名称标题"/>
    <w:next w:val="11"/>
    <w:qFormat/>
    <w:uiPriority w:val="0"/>
    <w:pPr>
      <w:keepNext/>
      <w:pageBreakBefore/>
      <w:widowControl w:val="0"/>
      <w:shd w:val="clear" w:color="FFFFFF" w:fill="FFFFFF"/>
      <w:spacing w:before="640" w:after="560" w:line="460" w:lineRule="exact"/>
      <w:jc w:val="center"/>
      <w:outlineLvl w:val="0"/>
    </w:pPr>
    <w:rPr>
      <w:rFonts w:ascii="黑体" w:hAnsi="Times New Roman" w:eastAsia="黑体" w:cs="Times New Roman"/>
      <w:kern w:val="2"/>
      <w:sz w:val="32"/>
      <w:szCs w:val="20"/>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二级条标题"/>
    <w:next w:val="11"/>
    <w:qFormat/>
    <w:uiPriority w:val="0"/>
    <w:pPr>
      <w:spacing w:before="50" w:beforeLines="50" w:after="50" w:afterLines="50"/>
      <w:outlineLvl w:val="3"/>
    </w:pPr>
    <w:rPr>
      <w:rFonts w:ascii="黑体" w:hAnsi="Times New Roman" w:eastAsia="黑体" w:cs="Times New Roman"/>
      <w:sz w:val="21"/>
      <w:szCs w:val="21"/>
      <w:lang w:val="en-US" w:eastAsia="zh-CN" w:bidi="ar-SA"/>
    </w:rPr>
  </w:style>
  <w:style w:type="paragraph" w:customStyle="1" w:styleId="13">
    <w:name w:val="章标题"/>
    <w:next w:val="1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14">
    <w:name w:val="_Style 11"/>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customStyle="1" w:styleId="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2024-07-22T09:47:00Z</dcterms:created>
  <dc:creator>hjy</dc:creator>
  <cp:lastModifiedBy>hjy</cp:lastModifiedBy>
  <dcterms:modified xsi:type="dcterms:W3CDTF">2024-07-22T09:49:27Z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