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tbl>
      <w:tblPr>
        <w:tblStyle w:val="8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1380"/>
        <w:gridCol w:w="4080"/>
        <w:gridCol w:w="1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840" w:type="dxa"/>
            <w:gridSpan w:val="4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pacing w:val="-1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“民企稳岗促就业”活动情况表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pacing w:before="100" w:beforeAutospacing="1" w:after="100" w:afterAutospacing="1" w:line="600" w:lineRule="exac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填报单位：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lang w:val="en-US" w:eastAsia="zh-CN" w:bidi="ar"/>
              </w:rPr>
              <w:t>工作内容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政策宣传情况 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开展集中宣传次数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招聘服务情况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网络招聘会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举办场次数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参加用人单位数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提供岗位数（即招聘人数）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注册简历数（即求职人数）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现场招聘会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举办场次数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参加用人单位数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提供岗位数（即招聘人数）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入场学生数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直播带岗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举办次数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观看人数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就业指导情况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就业指导次数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就业指导服务人数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E2163"/>
    <w:rsid w:val="1F0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footer"/>
    <w:basedOn w:val="1"/>
    <w:next w:val="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2022-06-23T08:18:00Z</dcterms:created>
  <dc:creator>hjy</dc:creator>
  <cp:lastModifiedBy>hjy</cp:lastModifiedBy>
  <dcterms:modified xsi:type="dcterms:W3CDTF">2022-06-23T08:20:38Z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