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widowControl/>
        <w:snapToGrid w:val="0"/>
        <w:spacing w:line="46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福建省</w:t>
      </w:r>
      <w:r>
        <w:rPr>
          <w:rFonts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</w:rPr>
        <w:t>9年省级创业孵化基地支持建设项目名单</w:t>
      </w:r>
    </w:p>
    <w:p>
      <w:pPr>
        <w:widowControl/>
        <w:spacing w:line="54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tbl>
      <w:tblPr>
        <w:tblStyle w:val="5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63"/>
        <w:gridCol w:w="521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Style w:val="4"/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地市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基地名称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补助金额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福州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福州职业技术学院大学生创新创业园区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厦门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创业树众创空间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漳州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漳州市金峰众创园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泉州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福建省大学生创新创业基地（泉州）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莆田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莆田高新区创客梦工场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莆田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莆田市秀屿区奋发青年创业园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南平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武夷智谷青年创客加速器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龙岩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福建省大学生创新创业基地（龙岩）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龙岩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客家红青年创业基地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_GB2312" w:hAnsi="微软雅黑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宁德</w:t>
            </w:r>
          </w:p>
        </w:tc>
        <w:tc>
          <w:tcPr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宁德师范学院大学生创新创业园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15DA4"/>
    <w:rsid w:val="2B4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2019-11-18T03:12:00Z</dcterms:created>
  <dc:creator>user</dc:creator>
  <cp:lastModifiedBy>user</cp:lastModifiedBy>
  <dcterms:modified xsi:type="dcterms:W3CDTF">2019-11-18T03:13:34Z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