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6" w:lineRule="exact"/>
        <w:textAlignment w:val="top"/>
        <w:rPr>
          <w:rFonts w:hint="eastAsia" w:ascii="仿宋_GB2312" w:hAnsi="Times New Roman" w:eastAsia="仿宋_GB2312"/>
          <w:spacing w:val="-6"/>
          <w:sz w:val="32"/>
        </w:rPr>
      </w:pPr>
      <w:r>
        <w:rPr>
          <w:rFonts w:hint="eastAsia" w:ascii="黑体" w:hAnsi="黑体" w:eastAsia="黑体" w:cs="黑体"/>
          <w:spacing w:val="-6"/>
          <w:sz w:val="32"/>
          <w:lang w:eastAsia="zh-CN"/>
        </w:rPr>
        <w:t>附件</w:t>
      </w:r>
    </w:p>
    <w:p>
      <w:pPr>
        <w:spacing w:line="560" w:lineRule="exact"/>
        <w:jc w:val="center"/>
        <w:rPr>
          <w:rFonts w:hint="eastAsia" w:ascii="方正小标宋简体" w:hAnsi="仿宋" w:eastAsia="方正小标宋简体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方正小标宋简体" w:hAnsi="仿宋" w:eastAsia="方正小标宋简体" w:cs="Times New Roman"/>
          <w:sz w:val="44"/>
          <w:szCs w:val="44"/>
        </w:rPr>
      </w:pPr>
      <w:bookmarkStart w:id="0" w:name="_GoBack"/>
      <w:r>
        <w:rPr>
          <w:rFonts w:hint="eastAsia" w:ascii="方正小标宋简体" w:hAnsi="仿宋" w:eastAsia="方正小标宋简体" w:cs="Times New Roman"/>
          <w:sz w:val="44"/>
          <w:szCs w:val="44"/>
        </w:rPr>
        <w:t>关于组织开展“技能雏鹰杯”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方正小标宋简体" w:hAnsi="仿宋" w:eastAsia="方正小标宋简体" w:cs="Times New Roman"/>
          <w:sz w:val="44"/>
          <w:szCs w:val="44"/>
        </w:rPr>
      </w:pPr>
      <w:r>
        <w:rPr>
          <w:rFonts w:hint="eastAsia" w:ascii="方正小标宋简体" w:hAnsi="仿宋" w:eastAsia="方正小标宋简体" w:cs="Times New Roman"/>
          <w:sz w:val="44"/>
          <w:szCs w:val="44"/>
        </w:rPr>
        <w:t>2025年春季学期开学第一课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方正小标宋简体" w:hAnsi="仿宋" w:eastAsia="方正小标宋简体" w:cs="Times New Roman"/>
          <w:sz w:val="44"/>
          <w:szCs w:val="44"/>
        </w:rPr>
      </w:pPr>
      <w:r>
        <w:rPr>
          <w:rFonts w:hint="eastAsia" w:ascii="方正小标宋简体" w:hAnsi="仿宋" w:eastAsia="方正小标宋简体" w:cs="Times New Roman"/>
          <w:sz w:val="44"/>
          <w:szCs w:val="44"/>
        </w:rPr>
        <w:t>校园安全图文视频征集大赛的通知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ascii="仿宋" w:hAnsi="仿宋" w:eastAsia="仿宋" w:cs="Times New Roman"/>
          <w:sz w:val="32"/>
          <w:szCs w:val="32"/>
        </w:rPr>
      </w:pP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各技工院校：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为增强学生安全意识，营造积极向上的校园安全文化氛围，中国人力资源和社会保障出版集团拟组织开展“技能雏鹰杯”2025年春季学期开学第一课“筑牢安全防线，守护平安校园”活动成果</w:t>
      </w:r>
      <w:r>
        <w:rPr>
          <w:rFonts w:ascii="仿宋" w:hAnsi="仿宋" w:eastAsia="仿宋" w:cs="Times New Roman"/>
          <w:sz w:val="32"/>
          <w:szCs w:val="32"/>
        </w:rPr>
        <w:t>征集</w:t>
      </w:r>
      <w:r>
        <w:rPr>
          <w:rFonts w:hint="eastAsia" w:ascii="仿宋" w:hAnsi="仿宋" w:eastAsia="仿宋" w:cs="Times New Roman"/>
          <w:sz w:val="32"/>
          <w:szCs w:val="32"/>
        </w:rPr>
        <w:t>大赛。现将有关事项通知如下：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一、活动名称与主题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（一）活动名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称：</w:t>
      </w:r>
      <w:r>
        <w:rPr>
          <w:rFonts w:hint="eastAsia" w:ascii="仿宋" w:hAnsi="仿宋" w:eastAsia="仿宋" w:cs="Times New Roman"/>
          <w:sz w:val="32"/>
          <w:szCs w:val="32"/>
        </w:rPr>
        <w:t>“技能雏鹰杯”2025年春季学期开学第一课校园安全图文视频征集大赛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（二）活动主题</w:t>
      </w:r>
      <w:r>
        <w:rPr>
          <w:rFonts w:hint="eastAsia" w:ascii="仿宋" w:hAnsi="仿宋" w:eastAsia="仿宋" w:cs="Times New Roman"/>
          <w:sz w:val="32"/>
          <w:szCs w:val="32"/>
        </w:rPr>
        <w:t>：筑牢安全防线，守护平安校园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二、活动组织与开展时间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楷体" w:hAnsi="楷体" w:eastAsia="楷体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（一）活动组织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主办单位：中国人力资源和社会保障出版集团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楷体" w:hAnsi="楷体" w:eastAsia="楷体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（二）活动开展时间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2025年2月10日—4月30日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三、活动形式及相关要求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楷体" w:hAnsi="楷体" w:eastAsia="楷体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（一）活动形式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结合技工院校校园安全教育，以“筑牢安全防线，守护平安校园”为主题，采用图文或短视频的形式，由各技工院校推选不超过3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份</w:t>
      </w:r>
      <w:r>
        <w:rPr>
          <w:rFonts w:hint="eastAsia" w:ascii="仿宋" w:hAnsi="仿宋" w:eastAsia="仿宋" w:cs="Times New Roman"/>
          <w:sz w:val="32"/>
          <w:szCs w:val="32"/>
        </w:rPr>
        <w:t>学生的作品参赛。</w:t>
      </w:r>
    </w:p>
    <w:p>
      <w:pPr>
        <w:spacing w:line="560" w:lineRule="exact"/>
        <w:ind w:firstLine="640"/>
        <w:rPr>
          <w:rFonts w:ascii="楷体" w:hAnsi="楷体" w:eastAsia="楷体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（二）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作品</w:t>
      </w:r>
      <w:r>
        <w:rPr>
          <w:rFonts w:hint="eastAsia" w:ascii="楷体" w:hAnsi="楷体" w:eastAsia="楷体" w:cs="Times New Roman"/>
          <w:sz w:val="32"/>
          <w:szCs w:val="32"/>
        </w:rPr>
        <w:t>要求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图文作品可由技工院校学生拍摄校园安全知识讲座、校园安全黑板报、校园安全演习等，内容可包括校园治安、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心理健康、</w:t>
      </w:r>
      <w:r>
        <w:rPr>
          <w:rFonts w:hint="eastAsia" w:ascii="仿宋" w:hAnsi="仿宋" w:eastAsia="仿宋" w:cs="Times New Roman"/>
          <w:sz w:val="32"/>
          <w:szCs w:val="32"/>
        </w:rPr>
        <w:t>消防安全、意外伤害、自然灾害、网络安全、公共卫生安全、实习安全等，帮助技工院校师生了解各方面校园安全知识，图片作品应为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参赛学生自行</w:t>
      </w:r>
      <w:r>
        <w:rPr>
          <w:rFonts w:hint="eastAsia" w:ascii="仿宋" w:hAnsi="仿宋" w:eastAsia="仿宋" w:cs="Times New Roman"/>
          <w:sz w:val="32"/>
          <w:szCs w:val="32"/>
        </w:rPr>
        <w:t>拍摄，并配以相应的文字说明。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短视频作品可由技工院校学生讲解校园安全知识、介绍校园安全设施使用方法等，也可创作校园安全教育小短剧或在校内开展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Times New Roman"/>
          <w:sz w:val="32"/>
          <w:szCs w:val="32"/>
        </w:rPr>
        <w:t>现场采访等多种形式，内容可包括校园治安、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心理健康、</w:t>
      </w:r>
      <w:r>
        <w:rPr>
          <w:rFonts w:hint="eastAsia" w:ascii="仿宋" w:hAnsi="仿宋" w:eastAsia="仿宋" w:cs="Times New Roman"/>
          <w:sz w:val="32"/>
          <w:szCs w:val="32"/>
        </w:rPr>
        <w:t>消防安全、意外伤害、自然灾害、网络安全、公共卫生安全、实习安全等，帮助技工院校师生了解各方面校园安全知识，同时可配适当的背景音乐和字幕。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作品内容可参考《校园安全教育（第二版）》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书代号：A01-6590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Times New Roman"/>
          <w:sz w:val="32"/>
          <w:szCs w:val="32"/>
        </w:rPr>
        <w:t>。</w:t>
      </w:r>
    </w:p>
    <w:p>
      <w:pPr>
        <w:spacing w:line="560" w:lineRule="exact"/>
        <w:ind w:firstLine="640"/>
        <w:rPr>
          <w:rFonts w:ascii="楷体" w:hAnsi="楷体" w:eastAsia="楷体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（三）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其他</w:t>
      </w:r>
      <w:r>
        <w:rPr>
          <w:rFonts w:hint="eastAsia" w:ascii="楷体" w:hAnsi="楷体" w:eastAsia="楷体" w:cs="Times New Roman"/>
          <w:sz w:val="32"/>
          <w:szCs w:val="32"/>
        </w:rPr>
        <w:t>要求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1.图文作品</w:t>
      </w:r>
      <w:r>
        <w:rPr>
          <w:rFonts w:ascii="仿宋" w:hAnsi="仿宋" w:eastAsia="仿宋" w:cs="Times New Roman"/>
          <w:sz w:val="32"/>
          <w:szCs w:val="32"/>
        </w:rPr>
        <w:t>黑白、彩色不限，单幅、组照均可，组照每组不超过3张照片。作品为JPEG格式，大小在2MB以上，边长像素不小于2000，须含有完整的EXIF数据。作品只可做亮度、对比度、色彩饱和度的适当微调，确保内容真实无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过度处理</w:t>
      </w:r>
      <w:r>
        <w:rPr>
          <w:rFonts w:ascii="仿宋" w:hAnsi="仿宋" w:eastAsia="仿宋" w:cs="Times New Roman"/>
          <w:sz w:val="32"/>
          <w:szCs w:val="32"/>
        </w:rPr>
        <w:t>。谢绝提供电脑创意和改变原始影像的作品。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2.视频作品鼓励采取9:16竖版构图拍摄，作品时长不超过3分钟，内容新颖；视频分辨率不低于1920*1080，大小不超过300M；如配字幕，字幕为简体中文。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3.作品内容及取景应为原创，无版权问题。不得使用无版权素材，不得侵犯第三方的著作权、商标权等一切合法权利，严禁抄袭。因作品侵权或其他原因所引起的包括(不限于)肖像权、著作权、商标权等纠纷，将由参与单位和学生承担全部责任；作品内容须积极健康向上，符合国家法律法规规定，不得涉及色情、暴力、宗教与种族歧视等内容，不得有反动、违法内容，不得植入广告等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4.所有作品自提交之日起，主办单位即拥有作品的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公益</w:t>
      </w:r>
      <w:r>
        <w:rPr>
          <w:rFonts w:hint="eastAsia" w:ascii="仿宋" w:hAnsi="仿宋" w:eastAsia="仿宋" w:cs="Times New Roman"/>
          <w:sz w:val="32"/>
          <w:szCs w:val="32"/>
        </w:rPr>
        <w:t>使用权，包括但不限于在技工教育网、技工教育公号等媒体平台发布、播放、对内容进行二次剪辑等操作。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5.凡提交作品参加活动，即视为认可并接受以上条款，主办单位拥有对活动的最终解释权。</w:t>
      </w:r>
    </w:p>
    <w:p>
      <w:pPr>
        <w:spacing w:line="560" w:lineRule="exact"/>
        <w:ind w:firstLine="64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四、活动安排及参与方式</w:t>
      </w:r>
    </w:p>
    <w:p>
      <w:pPr>
        <w:spacing w:line="560" w:lineRule="exact"/>
        <w:ind w:firstLine="640"/>
        <w:rPr>
          <w:rFonts w:hint="eastAsia" w:ascii="仿宋" w:hAnsi="仿宋" w:eastAsia="仿宋" w:cs="Times New Roman"/>
          <w:sz w:val="32"/>
          <w:szCs w:val="32"/>
          <w:lang w:eastAsia="zh-CN"/>
        </w:rPr>
      </w:pPr>
      <w:r>
        <w:rPr>
          <w:rFonts w:hint="eastAsia" w:ascii="仿宋" w:hAnsi="仿宋" w:eastAsia="仿宋" w:cs="Times New Roman"/>
          <w:sz w:val="32"/>
          <w:szCs w:val="32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1682750</wp:posOffset>
            </wp:positionH>
            <wp:positionV relativeFrom="paragraph">
              <wp:posOffset>2583180</wp:posOffset>
            </wp:positionV>
            <wp:extent cx="1809750" cy="1809750"/>
            <wp:effectExtent l="0" t="0" r="0" b="0"/>
            <wp:wrapTopAndBottom/>
            <wp:docPr id="1" name="图片 2" descr="大赛 报名表二维码12.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大赛 报名表二维码12.1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 w:cs="Times New Roman"/>
          <w:sz w:val="32"/>
          <w:szCs w:val="32"/>
        </w:rPr>
        <w:t>（一）作品征集阶段（2月10日—3月7日）</w:t>
      </w:r>
      <w:r>
        <w:rPr>
          <w:rFonts w:hint="eastAsia" w:ascii="仿宋" w:hAnsi="仿宋" w:eastAsia="仿宋" w:cs="Times New Roman"/>
          <w:sz w:val="32"/>
          <w:szCs w:val="32"/>
        </w:rPr>
        <w:t>：各技工院校要鼓励学生积极参赛，组织参赛学生填写《作品信息表》（附件1）,扫描下方二维码填写表格并上传盖章扫描版作品信息表，同时将参赛作品和《作品信息表》一并打包压缩，压缩包以“院校名称+学生姓名+作品标题”命名（如“北京XX技师学院+张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某某</w:t>
      </w:r>
      <w:r>
        <w:rPr>
          <w:rFonts w:hint="eastAsia" w:ascii="仿宋" w:hAnsi="仿宋" w:eastAsia="仿宋" w:cs="Times New Roman"/>
          <w:sz w:val="32"/>
          <w:szCs w:val="32"/>
        </w:rPr>
        <w:t>+校园安全建设”）发送至邮箱</w:t>
      </w:r>
      <w:r>
        <w:rPr>
          <w:rFonts w:ascii="仿宋" w:hAnsi="仿宋" w:eastAsia="仿宋" w:cs="Times New Roman"/>
          <w:sz w:val="32"/>
          <w:szCs w:val="32"/>
        </w:rPr>
        <w:t>wangj@class.com.cn</w:t>
      </w:r>
      <w:r>
        <w:rPr>
          <w:rFonts w:hint="eastAsia" w:ascii="仿宋" w:hAnsi="仿宋" w:eastAsia="仿宋" w:cs="Times New Roman"/>
          <w:sz w:val="32"/>
          <w:szCs w:val="32"/>
        </w:rPr>
        <w:t>，每所院校最多推荐3份作品。</w:t>
      </w:r>
    </w:p>
    <w:p>
      <w:pPr>
        <w:spacing w:line="560" w:lineRule="exact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（二）作品评选阶段（3月8日—3月21日）</w:t>
      </w:r>
      <w:r>
        <w:rPr>
          <w:rFonts w:hint="eastAsia" w:ascii="仿宋" w:hAnsi="仿宋" w:eastAsia="仿宋" w:cs="Times New Roman"/>
          <w:sz w:val="32"/>
          <w:szCs w:val="32"/>
        </w:rPr>
        <w:t>：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由主办单位组织专家从作品内容</w:t>
      </w:r>
      <w:r>
        <w:rPr>
          <w:rFonts w:hint="eastAsia" w:ascii="仿宋" w:hAnsi="仿宋" w:eastAsia="仿宋" w:cs="Times New Roman"/>
          <w:sz w:val="32"/>
          <w:szCs w:val="32"/>
          <w:highlight w:val="none"/>
          <w:lang w:val="en-US" w:eastAsia="zh-CN"/>
        </w:rPr>
        <w:t>主题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Times New Roman"/>
          <w:sz w:val="32"/>
          <w:szCs w:val="32"/>
          <w:highlight w:val="none"/>
          <w:lang w:val="en-US" w:eastAsia="zh-CN"/>
        </w:rPr>
        <w:t>视频制作、创意表现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Times New Roman"/>
          <w:sz w:val="32"/>
          <w:szCs w:val="32"/>
          <w:highlight w:val="none"/>
          <w:lang w:val="en-US" w:eastAsia="zh-CN"/>
        </w:rPr>
        <w:t>教育价值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等方面对投稿作品进行评选(评选标准参考附件2)。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楷体" w:hAnsi="楷体" w:eastAsia="楷体" w:cs="Times New Roman"/>
          <w:sz w:val="32"/>
          <w:szCs w:val="32"/>
        </w:rPr>
        <w:t>（</w:t>
      </w:r>
      <w:r>
        <w:rPr>
          <w:rFonts w:hint="eastAsia" w:ascii="楷体" w:hAnsi="楷体" w:eastAsia="楷体" w:cs="Times New Roman"/>
          <w:sz w:val="32"/>
          <w:szCs w:val="32"/>
          <w:lang w:val="en-US" w:eastAsia="zh-CN"/>
        </w:rPr>
        <w:t>三</w:t>
      </w:r>
      <w:r>
        <w:rPr>
          <w:rFonts w:hint="eastAsia" w:ascii="楷体" w:hAnsi="楷体" w:eastAsia="楷体" w:cs="Times New Roman"/>
          <w:sz w:val="32"/>
          <w:szCs w:val="32"/>
        </w:rPr>
        <w:t>）作品展示阶段（3月22日—4月30日）</w:t>
      </w:r>
      <w:r>
        <w:rPr>
          <w:rFonts w:hint="eastAsia" w:ascii="仿宋" w:hAnsi="仿宋" w:eastAsia="仿宋" w:cs="Times New Roman"/>
          <w:sz w:val="32"/>
          <w:szCs w:val="32"/>
        </w:rPr>
        <w:t>：优秀作品将在技工教育网展示，并通过主办单位微信公众号等发布。</w:t>
      </w:r>
    </w:p>
    <w:p>
      <w:pPr>
        <w:ind w:firstLine="64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五、优秀作品奖励</w:t>
      </w:r>
    </w:p>
    <w:p>
      <w:pPr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ascii="仿宋" w:hAnsi="仿宋" w:eastAsia="仿宋" w:cs="Times New Roman"/>
          <w:sz w:val="32"/>
          <w:szCs w:val="32"/>
        </w:rPr>
        <w:t>本次征集的作品由主办单位组织专家进行评选，主办单位将为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获奖</w:t>
      </w:r>
      <w:r>
        <w:rPr>
          <w:rFonts w:ascii="仿宋" w:hAnsi="仿宋" w:eastAsia="仿宋" w:cs="Times New Roman"/>
          <w:sz w:val="32"/>
          <w:szCs w:val="32"/>
        </w:rPr>
        <w:t>优秀作品的作者颁发荣誉证书、纪念品，并向其指导教师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发放</w:t>
      </w:r>
      <w:r>
        <w:rPr>
          <w:rFonts w:ascii="仿宋" w:hAnsi="仿宋" w:eastAsia="仿宋" w:cs="Times New Roman"/>
          <w:sz w:val="32"/>
          <w:szCs w:val="32"/>
        </w:rPr>
        <w:t>感谢信。</w:t>
      </w:r>
    </w:p>
    <w:p>
      <w:pPr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此外，获奖作品将在《职业》杂志等部属媒体刊发。</w:t>
      </w:r>
    </w:p>
    <w:p>
      <w:pPr>
        <w:ind w:firstLine="640"/>
        <w:rPr>
          <w:rFonts w:hint="default" w:ascii="Calibri" w:hAnsi="Calibri" w:eastAsia="黑体" w:cs="Times New Roman"/>
          <w:sz w:val="21"/>
          <w:szCs w:val="2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Times New Roman"/>
          <w:sz w:val="32"/>
          <w:szCs w:val="32"/>
        </w:rPr>
        <w:t>、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联系方式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联系人：王珺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联系电话：010-84419721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邮箱：</w:t>
      </w:r>
      <w:r>
        <w:rPr>
          <w:rFonts w:ascii="仿宋" w:hAnsi="仿宋" w:eastAsia="仿宋" w:cs="Times New Roman"/>
          <w:sz w:val="32"/>
          <w:szCs w:val="32"/>
        </w:rPr>
        <w:t>wangj@class.com.cn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附件：1.作品信息表</w:t>
      </w:r>
    </w:p>
    <w:p>
      <w:pPr>
        <w:spacing w:line="560" w:lineRule="exact"/>
        <w:ind w:firstLine="1600" w:firstLineChars="500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2.评选标准（参考）</w:t>
      </w: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</w:p>
    <w:p>
      <w:pPr>
        <w:spacing w:line="560" w:lineRule="exact"/>
        <w:rPr>
          <w:rFonts w:ascii="仿宋" w:hAnsi="仿宋" w:eastAsia="仿宋" w:cs="Times New Roman"/>
          <w:sz w:val="32"/>
          <w:szCs w:val="32"/>
        </w:rPr>
      </w:pPr>
    </w:p>
    <w:p>
      <w:pPr>
        <w:spacing w:line="560" w:lineRule="exact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 xml:space="preserve">             中国人力资源和社会保障出版集团有限公司</w:t>
      </w:r>
    </w:p>
    <w:p>
      <w:pPr>
        <w:spacing w:line="560" w:lineRule="exact"/>
        <w:rPr>
          <w:rFonts w:ascii="仿宋" w:hAnsi="仿宋" w:eastAsia="仿宋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440" w:right="1803" w:bottom="1440" w:left="1803" w:header="851" w:footer="992" w:gutter="0"/>
          <w:pgNumType w:fmt="decimal" w:start="4"/>
          <w:cols w:space="720" w:num="1"/>
          <w:rtlGutter w:val="0"/>
          <w:docGrid w:type="lines" w:linePitch="319" w:charSpace="0"/>
        </w:sectPr>
      </w:pPr>
      <w:r>
        <w:rPr>
          <w:rFonts w:hint="eastAsia" w:ascii="仿宋" w:hAnsi="仿宋" w:eastAsia="仿宋" w:cs="Times New Roman"/>
          <w:sz w:val="32"/>
          <w:szCs w:val="32"/>
        </w:rPr>
        <w:t xml:space="preserve">                         2024年12月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Times New Roman"/>
          <w:sz w:val="32"/>
          <w:szCs w:val="32"/>
        </w:rPr>
        <w:t>日</w:t>
      </w:r>
    </w:p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spacing w:line="560" w:lineRule="exact"/>
        <w:jc w:val="center"/>
        <w:rPr>
          <w:rFonts w:ascii="华文中宋" w:hAnsi="华文中宋" w:eastAsia="华文中宋" w:cs="Times New Roman"/>
          <w:sz w:val="44"/>
          <w:szCs w:val="32"/>
        </w:rPr>
      </w:pPr>
      <w:r>
        <w:rPr>
          <w:rFonts w:hint="eastAsia" w:ascii="华文中宋" w:hAnsi="华文中宋" w:eastAsia="华文中宋" w:cs="Times New Roman"/>
          <w:sz w:val="44"/>
          <w:szCs w:val="32"/>
        </w:rPr>
        <w:t>作品信息表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Times New Roman"/>
          <w:sz w:val="44"/>
          <w:szCs w:val="32"/>
        </w:rPr>
      </w:pPr>
    </w:p>
    <w:tbl>
      <w:tblPr>
        <w:tblStyle w:val="4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2976"/>
        <w:gridCol w:w="1418"/>
        <w:gridCol w:w="25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参赛单位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联系地址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投 稿 人</w:t>
            </w:r>
          </w:p>
        </w:tc>
        <w:tc>
          <w:tcPr>
            <w:tcW w:w="2976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手   机</w:t>
            </w:r>
          </w:p>
        </w:tc>
        <w:tc>
          <w:tcPr>
            <w:tcW w:w="25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邮    箱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指导教师</w:t>
            </w:r>
          </w:p>
        </w:tc>
        <w:tc>
          <w:tcPr>
            <w:tcW w:w="2976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手   机</w:t>
            </w:r>
          </w:p>
        </w:tc>
        <w:tc>
          <w:tcPr>
            <w:tcW w:w="25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作品题目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作品类型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ind w:firstLine="1600" w:firstLineChars="500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</w:rPr>
              <w:t>图文□       短视频□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7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内容是否原创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</w:rPr>
              <w:t>是□       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2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内容简介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1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版权承诺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Times New Roman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</w:rPr>
              <w:t>版权承诺：投稿人一经投稿，即视为拥有作品完整版权，并授权主办单位使用权。</w:t>
            </w:r>
          </w:p>
          <w:p>
            <w:pPr>
              <w:spacing w:line="560" w:lineRule="exact"/>
              <w:rPr>
                <w:rFonts w:ascii="仿宋" w:hAnsi="仿宋" w:eastAsia="仿宋" w:cs="Times New Roman"/>
                <w:sz w:val="32"/>
                <w:szCs w:val="32"/>
              </w:rPr>
            </w:pPr>
          </w:p>
          <w:p>
            <w:pPr>
              <w:spacing w:line="560" w:lineRule="exact"/>
              <w:ind w:firstLine="4480" w:firstLineChars="1400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55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sz w:val="32"/>
                <w:szCs w:val="32"/>
              </w:rPr>
              <w:t>备    注</w:t>
            </w:r>
          </w:p>
        </w:tc>
        <w:tc>
          <w:tcPr>
            <w:tcW w:w="696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sz w:val="32"/>
                <w:szCs w:val="32"/>
              </w:rPr>
            </w:pPr>
          </w:p>
        </w:tc>
      </w:tr>
    </w:tbl>
    <w:p>
      <w:pPr>
        <w:spacing w:line="560" w:lineRule="exact"/>
        <w:rPr>
          <w:rFonts w:ascii="仿宋" w:hAnsi="仿宋" w:eastAsia="仿宋"/>
          <w:sz w:val="32"/>
          <w:szCs w:val="32"/>
        </w:rPr>
        <w:sectPr>
          <w:footerReference r:id="rId5" w:type="default"/>
          <w:pgSz w:w="11906" w:h="16838"/>
          <w:pgMar w:top="1440" w:right="1803" w:bottom="1440" w:left="1803" w:header="851" w:footer="992" w:gutter="0"/>
          <w:pgNumType w:fmt="decimal"/>
          <w:cols w:space="720" w:num="1"/>
          <w:rtlGutter w:val="0"/>
          <w:docGrid w:type="lines" w:linePitch="319" w:charSpace="0"/>
        </w:sectPr>
      </w:pPr>
    </w:p>
    <w:p>
      <w:pPr>
        <w:spacing w:line="560" w:lineRule="exact"/>
        <w:jc w:val="lef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pacing w:line="560" w:lineRule="exact"/>
        <w:jc w:val="center"/>
        <w:rPr>
          <w:rFonts w:ascii="华文中宋" w:hAnsi="华文中宋" w:eastAsia="华文中宋" w:cs="Times New Roman"/>
          <w:sz w:val="44"/>
          <w:szCs w:val="32"/>
        </w:rPr>
      </w:pPr>
    </w:p>
    <w:p>
      <w:pPr>
        <w:spacing w:line="560" w:lineRule="exact"/>
        <w:jc w:val="center"/>
        <w:rPr>
          <w:rFonts w:ascii="华文中宋" w:hAnsi="华文中宋" w:eastAsia="华文中宋" w:cs="Times New Roman"/>
          <w:sz w:val="44"/>
          <w:szCs w:val="32"/>
        </w:rPr>
      </w:pPr>
      <w:r>
        <w:rPr>
          <w:rFonts w:hint="eastAsia" w:ascii="华文中宋" w:hAnsi="华文中宋" w:eastAsia="华文中宋" w:cs="Times New Roman"/>
          <w:sz w:val="44"/>
          <w:szCs w:val="32"/>
        </w:rPr>
        <w:t>评 审 标 准</w:t>
      </w:r>
    </w:p>
    <w:p>
      <w:pPr>
        <w:spacing w:line="560" w:lineRule="exact"/>
        <w:jc w:val="center"/>
        <w:rPr>
          <w:rFonts w:ascii="楷体" w:hAnsi="楷体" w:eastAsia="楷体" w:cs="Times New Roman"/>
          <w:b w:val="0"/>
          <w:bCs w:val="0"/>
          <w:sz w:val="32"/>
          <w:szCs w:val="32"/>
        </w:rPr>
      </w:pPr>
      <w:r>
        <w:rPr>
          <w:rFonts w:hint="eastAsia" w:ascii="楷体" w:hAnsi="楷体" w:eastAsia="楷体" w:cs="Times New Roman"/>
          <w:b w:val="0"/>
          <w:bCs w:val="0"/>
          <w:sz w:val="32"/>
          <w:szCs w:val="32"/>
        </w:rPr>
        <w:t>（参考）</w:t>
      </w:r>
    </w:p>
    <w:tbl>
      <w:tblPr>
        <w:tblStyle w:val="4"/>
        <w:tblW w:w="879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72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1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内容主题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准确性（15分）：图片或视频所传达的安全知识必须准确无误，涵盖校园常见的安全问题，校园治安、心理健康、消防安全、意外伤害、自然灾害、网络安全、公共卫生安全、实习安全等等，对各类安全隐患的讲解清晰明确，应对措施切实可行，不存在误导性信息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完整性（10分）：安全知识内容完整，从问题介绍、产生原因、预防方法到应急处理等环节一应俱全，能够让观众全面系统地了解相关安全主题。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创新性（10分）：在内容呈现上具有独特的视角或新颖的方式。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6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实用性（5分）：所传授的安全知识和技能在校园日常生活中具有实际应用价值，学生和教职工能够轻松将其运用到实际场景中，切实提高安全防范意识和应对能力。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7" w:hRule="atLeast"/>
          <w:tblHeader/>
          <w:jc w:val="center"/>
        </w:trPr>
        <w:tc>
          <w:tcPr>
            <w:tcW w:w="1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2"/>
                <w:szCs w:val="32"/>
                <w:u w:val="none"/>
                <w:lang w:val="en-US" w:eastAsia="zh-CN" w:bidi="ar"/>
              </w:rPr>
              <w:t>视频制作（30分）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画面质量（10分）：视频画面清晰、稳定，无明显噪点、模糊、抖动或失真现象；色彩还原度高，亮度和对比度适中，视觉效果良好。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3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音频质量（8分）：声音清晰、流畅，无杂音、噪音或音量忽大忽小的情况；解说员的声音洪亮、富有感染力，语速适中，语言表达准确、清晰；背景音乐的选择与视频内容相得益彰，能够营造出恰当的氛围。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rPr>
          <w:rFonts w:hint="eastAsia" w:ascii="仿宋" w:hAnsi="仿宋" w:eastAsia="仿宋" w:cs="仿宋"/>
          <w:i w:val="0"/>
          <w:iCs w:val="0"/>
          <w:color w:val="222222"/>
          <w:sz w:val="32"/>
          <w:szCs w:val="32"/>
          <w:u w:val="none"/>
        </w:rPr>
        <w:sectPr>
          <w:footerReference r:id="rId6" w:type="default"/>
          <w:pgSz w:w="11906" w:h="16838"/>
          <w:pgMar w:top="1440" w:right="1803" w:bottom="1440" w:left="1803" w:header="851" w:footer="992" w:gutter="0"/>
          <w:pgNumType w:fmt="decimal"/>
          <w:cols w:space="720" w:num="1"/>
          <w:rtlGutter w:val="0"/>
          <w:docGrid w:type="lines" w:linePitch="319" w:charSpace="0"/>
        </w:sectPr>
      </w:pPr>
    </w:p>
    <w:tbl>
      <w:tblPr>
        <w:tblStyle w:val="4"/>
        <w:tblW w:w="879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72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tblHeader/>
          <w:jc w:val="center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7" w:hRule="atLeast"/>
          <w:tblHeader/>
          <w:jc w:val="center"/>
        </w:trPr>
        <w:tc>
          <w:tcPr>
            <w:tcW w:w="159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剪辑技巧（7分）：视频剪辑流畅自然，过渡效果良好，镜头切换合理，能够准确地传达信息和引导观众的注意力；剪辑节奏把握得当。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9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字幕制作（5分）：字幕完整、准确，与音频内容完全匹配，无错别字、语病或遗漏；字幕的字体、颜色、大小和位置合适，易于观看，不影响画面整体效果；对于重要的安全提示信息，能够通过字幕进行强调和突出显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  <w:tblHeader/>
          <w:jc w:val="center"/>
        </w:trPr>
        <w:tc>
          <w:tcPr>
            <w:tcW w:w="1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创意表现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表现形式（10分）：视频采用独特、富有创意的表现形式，如动画、微电影、情景短剧等，增强观众的参与感和体验感。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9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角色塑造（5分）：如果视频中有角色出现，角色形象应鲜明、生动，具有代表性和亲和力，能够让观众产生共鸣；角色的表演自然、真实，能够准确地传达安全信息和情感。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6" w:hRule="atLeast"/>
          <w:tblHeader/>
          <w:jc w:val="center"/>
        </w:trPr>
        <w:tc>
          <w:tcPr>
            <w:tcW w:w="1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情节设计（5 分）：视频具有连贯、引人入胜的情节，能够将安全知识巧妙地融入到故事情节中，通过故事的发展引导观众学习安全知识。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5" w:hRule="atLeast"/>
          <w:tblHeader/>
          <w:jc w:val="center"/>
        </w:trPr>
        <w:tc>
          <w:tcPr>
            <w:tcW w:w="159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教育价值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目标受众契合度（5分）：视频内容和表现形式能够充分考虑到不同年龄段、不同学习阶段学生的认知水平和接受能力，以及教职工在校园工作中的实际安全需求，具有较强的针对性和适用性，能够有效地向目标受众传递安全信息，提高其安全意识和防范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9" w:hRule="atLeast"/>
          <w:tblHeader/>
          <w:jc w:val="center"/>
        </w:trPr>
        <w:tc>
          <w:tcPr>
            <w:tcW w:w="159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7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300" w:firstLineChars="10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222222"/>
                <w:kern w:val="0"/>
                <w:sz w:val="30"/>
                <w:szCs w:val="30"/>
                <w:u w:val="none"/>
                <w:lang w:val="en-US" w:eastAsia="zh-CN" w:bidi="ar"/>
              </w:rPr>
              <w:t>教育效果（5分）：视频能够激发观众对校园安全问题的重视和思考，具有一定的感染力和影响力，能够在校园内营造良好的安全文化氛围，促进校园安全工作的深入开展。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right" w:pos="8300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2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22"/>
        <w:lang w:val="en-US" w:eastAsia="zh-CN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5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E/vkG3AQAAVAMAAA4AAABkcnMvZTJvRG9jLnhtbK1TS27bMBDdF+gd&#10;CO5rKSoaGILpoEWQokCRBkhzAJoiLQL8YUhb8gXSG3TVTfY5l8+RIW05QbILuqFmOMM3782MFhej&#10;NWQrIWrvGD2b1ZRIJ3yn3ZrRu99Xn+aUxMRdx413ktGdjPRi+fHDYgitbHzvTSeBIIiL7RAY7VMK&#10;bVVF0UvL48wH6TCoPFie0IV11QEfEN2aqqnr82rw0AXwQsaIt5eHIF0WfKWkSL+UijIRwyhyS+WE&#10;cq7yWS0XvF0DD70WRxr8HSws1w6LnqAueeJkA/oNlNUCfPQqzYS3lVdKC1k0oJqz+pWa254HWbRg&#10;c2I4tSn+P1hxvb0BojtGG0octzii/d8/+3+P+4d70uT2DCG2mHUbMC+N3/yIY57uI15m1aMCm7+o&#10;h2AcG707NVeOiYj8aN7M5zWGBMYmB/Gr5+cBYvouvSXZYBRweqWpfPszpkPqlJKrOX+ljSkTNI4M&#10;jJ5//lKXB6cIghuHNbKIA9lspXE1HpWtfLdDYQNuAKMOV5QS88Nhg/OyTAZMxmoyNgH0ui/blJnE&#10;8HWTkE0hmSscYI+FcXRF5nHN8m689EvW88+wfA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CzSVju&#10;0AAAAAUBAAAPAAAAAAAAAAEAIAAAACIAAABkcnMvZG93bnJldi54bWxQSwECFAAUAAAACACHTuJA&#10;kT++QbcBAABUAwAADgAAAAAAAAABACAAAAAfAQAAZHJzL2Uyb0RvYy54bWxQSwUGAAAAAAYABgBZ&#10;AQAASA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5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Calibri" w:hAnsi="Calibri" w:eastAsia="宋体" w:cs="Times New Roman"/>
        <w:kern w:val="2"/>
        <w:sz w:val="18"/>
        <w:szCs w:val="22"/>
        <w:lang w:val="en-US" w:eastAsia="zh-CN" w:bidi="ar-SA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ascii="Times New Roman" w:hAnsi="Times New Roman"/>
      </w:rPr>
    </w:pPr>
    <w:r>
      <w:rPr>
        <w:rFonts w:ascii="Times New Roman" w:hAnsi="Times New Roman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rPr>
                              <w:rFonts w:ascii="Times New Roman" w:hAnsi="Times New Roman" w:eastAsia="仿宋_GB2312"/>
                              <w:sz w:val="32"/>
                            </w:rPr>
                          </w:pP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t>4</w:t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eastAsia="仿宋_GB2312"/>
                              <w:sz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aqKiq4BAABLAwAADgAAAGRycy9lMm9Eb2MueG1srVPNThsxEL5X4h0s&#10;34mXI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RqoqK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ascii="Times New Roman" w:hAnsi="Times New Roman" w:eastAsia="仿宋_GB2312"/>
                        <w:sz w:val="32"/>
                      </w:rPr>
                    </w:pPr>
                    <w:r>
                      <w:rPr>
                        <w:rFonts w:ascii="Times New Roman" w:hAnsi="Times New Roman" w:eastAsia="仿宋_GB2312"/>
                        <w:sz w:val="32"/>
                      </w:rPr>
                      <w:t xml:space="preserve">— </w:t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fldChar w:fldCharType="begin"/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fldChar w:fldCharType="separate"/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t>4</w:t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fldChar w:fldCharType="end"/>
                    </w:r>
                    <w:r>
                      <w:rPr>
                        <w:rFonts w:ascii="Times New Roman" w:hAnsi="Times New Roman" w:eastAsia="仿宋_GB2312"/>
                        <w:sz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2"/>
        <w:lang w:val="en-US" w:eastAsia="zh-CN" w:bidi="ar-SA"/>
      </w:rPr>
    </w:pPr>
    <w:r>
      <w:rPr>
        <w:rFonts w:ascii="Times New Roman" w:hAnsi="Times New Roman" w:eastAsia="仿宋_GB2312"/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ascii="Times New Roman" w:hAnsi="Times New Roman"/>
                            </w:rPr>
                          </w:pPr>
                          <w:r>
                            <w:rPr>
                              <w:rFonts w:ascii="Times New Roman" w:hAnsi="Times New Roman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wZqODK4BAABLAwAADgAAAGRycy9lMm9Eb2MueG1srVPNThsxEL5X4h0s&#10;34mXC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Bmo4M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Times New Roman" w:hAnsi="Times New Roman"/>
                      </w:rPr>
                    </w:pPr>
                    <w:r>
                      <w:rPr>
                        <w:rFonts w:ascii="Times New Roman" w:hAnsi="Times New Roman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</w:rPr>
                      <w:t>1</w:t>
                    </w:r>
                    <w:r>
                      <w:rPr>
                        <w:rFonts w:ascii="Times New Roman" w:hAnsi="Times New Roman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2"/>
        <w:lang w:val="en-US" w:eastAsia="zh-CN" w:bidi="ar-SA"/>
      </w:rPr>
    </w:pPr>
    <w:r>
      <w:rPr>
        <w:rFonts w:ascii="Times New Roman" w:hAnsi="Times New Roman" w:eastAsia="仿宋_GB2312"/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fw5O64BAABLAwAADgAAAGRycy9lMm9Eb2MueG1srVPNThsxEL5X4h0s&#10;34mXSFT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x/Dk7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D75709"/>
    <w:rsid w:val="59D75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仿宋_GB2312" w:cs="Times New Roman"/>
      <w:kern w:val="2"/>
      <w:sz w:val="18"/>
      <w:szCs w:val="18"/>
      <w:lang w:val="en-US" w:eastAsia="zh-CN" w:bidi="ar-SA"/>
    </w:rPr>
  </w:style>
  <w:style w:type="paragraph" w:styleId="3">
    <w:name w:val="header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仿宋_GB2312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2025-01-21T01:44:00Z</dcterms:created>
  <dc:creator>Administrator</dc:creator>
  <cp:lastModifiedBy>Administrator</cp:lastModifiedBy>
  <dcterms:modified xsi:type="dcterms:W3CDTF">2025-01-21T01:45:29Z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