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ind w:right="0" w:rightChars="0"/>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评标办法</w:t>
      </w:r>
    </w:p>
    <w:p>
      <w:pPr>
        <w:pStyle w:val="8"/>
        <w:keepNext w:val="0"/>
        <w:keepLines w:val="0"/>
        <w:pageBreakBefore w:val="0"/>
        <w:numPr>
          <w:ilvl w:val="0"/>
          <w:numId w:val="0"/>
        </w:numPr>
        <w:kinsoku/>
        <w:wordWrap/>
        <w:overflowPunct/>
        <w:topLinePunct w:val="0"/>
        <w:bidi w:val="0"/>
        <w:spacing w:line="560" w:lineRule="exact"/>
        <w:ind w:leftChars="0" w:right="0" w:righ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numPr>
          <w:ilvl w:val="0"/>
          <w:numId w:val="0"/>
        </w:numPr>
        <w:kinsoku/>
        <w:wordWrap/>
        <w:overflowPunct/>
        <w:topLinePunct w:val="0"/>
        <w:bidi w:val="0"/>
        <w:spacing w:line="560" w:lineRule="exact"/>
        <w:ind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本评标办法采用综合评分法，最低报价不能作为中标的保证。</w:t>
      </w:r>
    </w:p>
    <w:p>
      <w:pPr>
        <w:keepNext w:val="0"/>
        <w:keepLines w:val="0"/>
        <w:pageBreakBefore w:val="0"/>
        <w:numPr>
          <w:ilvl w:val="0"/>
          <w:numId w:val="0"/>
        </w:numPr>
        <w:tabs>
          <w:tab w:val="left" w:pos="630"/>
        </w:tabs>
        <w:kinsoku/>
        <w:wordWrap/>
        <w:overflowPunct/>
        <w:topLinePunct w:val="0"/>
        <w:autoSpaceDE w:val="0"/>
        <w:autoSpaceDN w:val="0"/>
        <w:bidi w:val="0"/>
        <w:adjustRightInd w:val="0"/>
        <w:spacing w:line="560" w:lineRule="exact"/>
        <w:ind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评标步骤：评标</w:t>
      </w:r>
      <w:r>
        <w:rPr>
          <w:rFonts w:hint="eastAsia" w:ascii="仿宋" w:hAnsi="仿宋" w:eastAsia="仿宋" w:cs="仿宋"/>
          <w:sz w:val="32"/>
          <w:szCs w:val="32"/>
          <w:lang w:eastAsia="zh-CN"/>
        </w:rPr>
        <w:t>小组</w:t>
      </w:r>
      <w:r>
        <w:rPr>
          <w:rFonts w:hint="eastAsia" w:ascii="仿宋" w:hAnsi="仿宋" w:eastAsia="仿宋" w:cs="仿宋"/>
          <w:sz w:val="32"/>
          <w:szCs w:val="32"/>
        </w:rPr>
        <w:t>先进行投标文件初审，对通过初审的投标文件进行技术、商务及价格的详细评审最后评标</w:t>
      </w:r>
      <w:r>
        <w:rPr>
          <w:rFonts w:hint="eastAsia" w:ascii="仿宋" w:hAnsi="仿宋" w:eastAsia="仿宋" w:cs="仿宋"/>
          <w:sz w:val="32"/>
          <w:szCs w:val="32"/>
          <w:lang w:eastAsia="zh-CN"/>
        </w:rPr>
        <w:t>小组</w:t>
      </w:r>
      <w:r>
        <w:rPr>
          <w:rFonts w:hint="eastAsia" w:ascii="仿宋" w:hAnsi="仿宋" w:eastAsia="仿宋" w:cs="仿宋"/>
          <w:sz w:val="32"/>
          <w:szCs w:val="32"/>
        </w:rPr>
        <w:t>出具评标报告。</w:t>
      </w:r>
    </w:p>
    <w:p>
      <w:pPr>
        <w:keepNext w:val="0"/>
        <w:keepLines w:val="0"/>
        <w:pageBreakBefore w:val="0"/>
        <w:numPr>
          <w:ilvl w:val="0"/>
          <w:numId w:val="0"/>
        </w:numPr>
        <w:tabs>
          <w:tab w:val="left" w:pos="420"/>
          <w:tab w:val="left" w:pos="630"/>
        </w:tabs>
        <w:kinsoku/>
        <w:wordWrap/>
        <w:overflowPunct/>
        <w:topLinePunct w:val="0"/>
        <w:autoSpaceDE w:val="0"/>
        <w:autoSpaceDN w:val="0"/>
        <w:bidi w:val="0"/>
        <w:adjustRightInd w:val="0"/>
        <w:spacing w:line="560" w:lineRule="exact"/>
        <w:ind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评分及其统计：按照评标程序、评分标准以及权重分配的规定，评标</w:t>
      </w:r>
      <w:r>
        <w:rPr>
          <w:rFonts w:hint="eastAsia" w:ascii="仿宋" w:hAnsi="仿宋" w:eastAsia="仿宋" w:cs="仿宋"/>
          <w:sz w:val="32"/>
          <w:szCs w:val="32"/>
          <w:lang w:eastAsia="zh-CN"/>
        </w:rPr>
        <w:t>小组</w:t>
      </w:r>
      <w:r>
        <w:rPr>
          <w:rFonts w:hint="eastAsia" w:ascii="仿宋" w:hAnsi="仿宋" w:eastAsia="仿宋" w:cs="仿宋"/>
          <w:sz w:val="32"/>
          <w:szCs w:val="32"/>
        </w:rPr>
        <w:t>各成员分别就各个投标人的技术状况、商务状况及其对招标文件要求的响应情况进行评议和比较，评出其技术评分和商务评分、价格评分相加得出其综合得分。综合评分相等时，以投标报价低的优先；投标报价也相等的，以技术标得分高的优先。</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资格、符合性评审条款</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textAlignment w:val="auto"/>
        <w:rPr>
          <w:rFonts w:hint="eastAsia" w:ascii="楷体" w:hAnsi="楷体" w:eastAsia="楷体" w:cs="楷体"/>
          <w:b/>
          <w:bCs/>
          <w:snapToGrid w:val="0"/>
          <w:spacing w:val="8"/>
          <w:sz w:val="32"/>
          <w:szCs w:val="32"/>
        </w:rPr>
      </w:pPr>
      <w:r>
        <w:rPr>
          <w:rFonts w:hint="eastAsia" w:ascii="楷体" w:hAnsi="楷体" w:eastAsia="楷体" w:cs="楷体"/>
          <w:b/>
          <w:bCs/>
          <w:sz w:val="32"/>
          <w:szCs w:val="32"/>
        </w:rPr>
        <w:t>项目名称：</w:t>
      </w:r>
      <w:r>
        <w:rPr>
          <w:rFonts w:hint="eastAsia" w:ascii="楷体" w:hAnsi="楷体" w:eastAsia="楷体" w:cs="楷体"/>
          <w:b/>
          <w:bCs/>
          <w:sz w:val="32"/>
          <w:szCs w:val="32"/>
          <w:lang w:val="en-US" w:eastAsia="zh-CN"/>
        </w:rPr>
        <w:t>OA系统错别字监测嵌入式及在线监测项目</w:t>
      </w:r>
    </w:p>
    <w:tbl>
      <w:tblPr>
        <w:tblStyle w:val="6"/>
        <w:tblW w:w="8164" w:type="dxa"/>
        <w:jc w:val="center"/>
        <w:tblInd w:w="0" w:type="dxa"/>
        <w:tblLayout w:type="fixed"/>
        <w:tblCellMar>
          <w:top w:w="0" w:type="dxa"/>
          <w:left w:w="0" w:type="dxa"/>
          <w:bottom w:w="0" w:type="dxa"/>
          <w:right w:w="0" w:type="dxa"/>
        </w:tblCellMar>
      </w:tblPr>
      <w:tblGrid>
        <w:gridCol w:w="722"/>
        <w:gridCol w:w="7442"/>
      </w:tblGrid>
      <w:tr>
        <w:tblPrEx>
          <w:tblLayout w:type="fixed"/>
          <w:tblCellMar>
            <w:top w:w="0" w:type="dxa"/>
            <w:left w:w="0" w:type="dxa"/>
            <w:bottom w:w="0" w:type="dxa"/>
            <w:right w:w="0" w:type="dxa"/>
          </w:tblCellMar>
        </w:tblPrEx>
        <w:trPr>
          <w:trHeight w:val="524"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kern w:val="0"/>
                <w:sz w:val="24"/>
                <w:szCs w:val="24"/>
                <w:highlight w:val="none"/>
                <w:lang w:bidi="ar"/>
              </w:rPr>
              <w:t>序号</w:t>
            </w:r>
          </w:p>
        </w:tc>
        <w:tc>
          <w:tcPr>
            <w:tcW w:w="74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kern w:val="0"/>
                <w:sz w:val="24"/>
                <w:szCs w:val="24"/>
                <w:highlight w:val="none"/>
                <w:lang w:bidi="ar"/>
              </w:rPr>
              <w:t>评 审 内 容</w:t>
            </w:r>
          </w:p>
        </w:tc>
      </w:tr>
      <w:tr>
        <w:tblPrEx>
          <w:tblLayout w:type="fixed"/>
          <w:tblCellMar>
            <w:top w:w="0" w:type="dxa"/>
            <w:left w:w="0" w:type="dxa"/>
            <w:bottom w:w="0" w:type="dxa"/>
            <w:right w:w="0" w:type="dxa"/>
          </w:tblCellMar>
        </w:tblPrEx>
        <w:trPr>
          <w:trHeight w:val="524"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1</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按有关法律、法规、规章不属于投标无效的。</w:t>
            </w:r>
          </w:p>
        </w:tc>
      </w:tr>
      <w:tr>
        <w:tblPrEx>
          <w:tblLayout w:type="fixed"/>
          <w:tblCellMar>
            <w:top w:w="0" w:type="dxa"/>
            <w:left w:w="0" w:type="dxa"/>
            <w:bottom w:w="0" w:type="dxa"/>
            <w:right w:w="0" w:type="dxa"/>
          </w:tblCellMar>
        </w:tblPrEx>
        <w:trPr>
          <w:trHeight w:val="524"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2</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投标函已提交并符合招标文件要求的；</w:t>
            </w:r>
          </w:p>
        </w:tc>
      </w:tr>
      <w:tr>
        <w:tblPrEx>
          <w:tblLayout w:type="fixed"/>
          <w:tblCellMar>
            <w:top w:w="0" w:type="dxa"/>
            <w:left w:w="0" w:type="dxa"/>
            <w:bottom w:w="0" w:type="dxa"/>
            <w:right w:w="0" w:type="dxa"/>
          </w:tblCellMar>
        </w:tblPrEx>
        <w:trPr>
          <w:trHeight w:val="653"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bidi="ar"/>
              </w:rPr>
              <w:t>3</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按照招标文件规定要求签署、盖章且投标文件有法定代表人签字，或签字人有法定代表人有效授权书的；</w:t>
            </w:r>
          </w:p>
        </w:tc>
      </w:tr>
      <w:tr>
        <w:tblPrEx>
          <w:tblLayout w:type="fixed"/>
          <w:tblCellMar>
            <w:top w:w="0" w:type="dxa"/>
            <w:left w:w="0" w:type="dxa"/>
            <w:bottom w:w="0" w:type="dxa"/>
            <w:right w:w="0" w:type="dxa"/>
          </w:tblCellMar>
        </w:tblPrEx>
        <w:trPr>
          <w:trHeight w:val="524"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bidi="ar"/>
              </w:rPr>
              <w:t>4</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投标报价未超过本项目最高限价的；</w:t>
            </w:r>
          </w:p>
        </w:tc>
      </w:tr>
      <w:tr>
        <w:tblPrEx>
          <w:tblLayout w:type="fixed"/>
          <w:tblCellMar>
            <w:top w:w="0" w:type="dxa"/>
            <w:left w:w="0" w:type="dxa"/>
            <w:bottom w:w="0" w:type="dxa"/>
            <w:right w:w="0" w:type="dxa"/>
          </w:tblCellMar>
        </w:tblPrEx>
        <w:trPr>
          <w:trHeight w:val="524"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bidi="ar"/>
              </w:rPr>
              <w:t>5</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投标文件完全满足招标文件的功能，无负偏离的；</w:t>
            </w:r>
          </w:p>
        </w:tc>
      </w:tr>
      <w:tr>
        <w:tblPrEx>
          <w:tblLayout w:type="fixed"/>
          <w:tblCellMar>
            <w:top w:w="0" w:type="dxa"/>
            <w:left w:w="0" w:type="dxa"/>
            <w:bottom w:w="0" w:type="dxa"/>
            <w:right w:w="0" w:type="dxa"/>
          </w:tblCellMar>
        </w:tblPrEx>
        <w:trPr>
          <w:trHeight w:val="524"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bidi="ar"/>
              </w:rPr>
              <w:t>6</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投标文件符合招标文件要求的；</w:t>
            </w:r>
          </w:p>
        </w:tc>
      </w:tr>
      <w:tr>
        <w:tblPrEx>
          <w:tblLayout w:type="fixed"/>
          <w:tblCellMar>
            <w:top w:w="0" w:type="dxa"/>
            <w:left w:w="0" w:type="dxa"/>
            <w:bottom w:w="0" w:type="dxa"/>
            <w:right w:w="0" w:type="dxa"/>
          </w:tblCellMar>
        </w:tblPrEx>
        <w:trPr>
          <w:trHeight w:val="804"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bidi="ar"/>
              </w:rPr>
              <w:t>7</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投标人是在中华人民共和国内注册的，具有独立法人资格和独立承担民事责任的能力的（提供营业执照扫描件）；</w:t>
            </w:r>
          </w:p>
        </w:tc>
      </w:tr>
      <w:tr>
        <w:tblPrEx>
          <w:tblLayout w:type="fixed"/>
          <w:tblCellMar>
            <w:top w:w="0" w:type="dxa"/>
            <w:left w:w="0" w:type="dxa"/>
            <w:bottom w:w="0" w:type="dxa"/>
            <w:right w:w="0" w:type="dxa"/>
          </w:tblCellMar>
        </w:tblPrEx>
        <w:trPr>
          <w:trHeight w:val="524"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bidi="ar"/>
              </w:rPr>
              <w:t>8</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投标文件没有招标文件中规定的其它无效投标条款的；</w:t>
            </w:r>
          </w:p>
        </w:tc>
      </w:tr>
      <w:tr>
        <w:tblPrEx>
          <w:tblLayout w:type="fixed"/>
          <w:tblCellMar>
            <w:top w:w="0" w:type="dxa"/>
            <w:left w:w="0" w:type="dxa"/>
            <w:bottom w:w="0" w:type="dxa"/>
            <w:right w:w="0" w:type="dxa"/>
          </w:tblCellMar>
        </w:tblPrEx>
        <w:trPr>
          <w:trHeight w:val="535" w:hRule="atLeast"/>
          <w:jc w:val="center"/>
        </w:trPr>
        <w:tc>
          <w:tcPr>
            <w:tcW w:w="722" w:type="dxa"/>
            <w:tcBorders>
              <w:top w:val="nil"/>
              <w:left w:val="single" w:color="auto" w:sz="4" w:space="0"/>
              <w:bottom w:val="single" w:color="auto" w:sz="4" w:space="0"/>
              <w:right w:val="single" w:color="auto" w:sz="4" w:space="0"/>
            </w:tcBorders>
            <w:tcMar>
              <w:right w:w="4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bidi="ar"/>
              </w:rPr>
              <w:t>9</w:t>
            </w:r>
          </w:p>
        </w:tc>
        <w:tc>
          <w:tcPr>
            <w:tcW w:w="74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outlineLvl w:val="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具备招标文件中规定资格要求的及资格证明文件齐全的；</w:t>
            </w:r>
          </w:p>
        </w:tc>
      </w:tr>
    </w:tbl>
    <w:p>
      <w:pPr>
        <w:rPr>
          <w:rFonts w:hint="eastAsia" w:ascii="黑体" w:hAnsi="黑体" w:eastAsia="黑体" w:cs="黑体"/>
          <w:i w:val="0"/>
          <w:iCs w:val="0"/>
          <w:caps w:val="0"/>
          <w:color w:val="333333"/>
          <w:spacing w:val="0"/>
          <w:sz w:val="32"/>
          <w:szCs w:val="32"/>
          <w:lang w:eastAsia="zh-CN"/>
        </w:rPr>
      </w:pPr>
      <w:r>
        <w:rPr>
          <w:rFonts w:hint="eastAsia" w:ascii="黑体" w:hAnsi="黑体" w:eastAsia="黑体" w:cs="黑体"/>
          <w:i w:val="0"/>
          <w:iCs w:val="0"/>
          <w:caps w:val="0"/>
          <w:color w:val="333333"/>
          <w:spacing w:val="0"/>
          <w:sz w:val="32"/>
          <w:szCs w:val="32"/>
          <w:lang w:eastAsia="zh-CN"/>
        </w:rPr>
        <w:t>二、综合评分细则（总分：100分）</w:t>
      </w:r>
    </w:p>
    <w:tbl>
      <w:tblPr>
        <w:tblStyle w:val="7"/>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8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Theme="majorEastAsia" w:hAnsiTheme="majorEastAsia" w:eastAsiaTheme="majorEastAsia" w:cstheme="majorEastAsia"/>
                <w:i w:val="0"/>
                <w:iCs w:val="0"/>
                <w:caps w:val="0"/>
                <w:color w:val="333333"/>
                <w:spacing w:val="0"/>
                <w:sz w:val="24"/>
                <w:szCs w:val="24"/>
                <w:highlight w:val="none"/>
                <w:lang w:eastAsia="zh-CN"/>
              </w:rPr>
            </w:pPr>
            <w:r>
              <w:rPr>
                <w:rFonts w:hint="eastAsia" w:asciiTheme="majorEastAsia" w:hAnsiTheme="majorEastAsia" w:eastAsiaTheme="majorEastAsia" w:cstheme="majorEastAsia"/>
                <w:i w:val="0"/>
                <w:iCs w:val="0"/>
                <w:caps w:val="0"/>
                <w:color w:val="333333"/>
                <w:spacing w:val="0"/>
                <w:sz w:val="24"/>
                <w:szCs w:val="24"/>
                <w:highlight w:val="none"/>
                <w:lang w:eastAsia="zh-CN"/>
              </w:rPr>
              <w:t>项目</w:t>
            </w:r>
          </w:p>
        </w:tc>
        <w:tc>
          <w:tcPr>
            <w:tcW w:w="1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Theme="majorEastAsia" w:hAnsiTheme="majorEastAsia" w:eastAsiaTheme="majorEastAsia" w:cstheme="majorEastAsia"/>
                <w:i w:val="0"/>
                <w:iCs w:val="0"/>
                <w:caps w:val="0"/>
                <w:color w:val="333333"/>
                <w:spacing w:val="0"/>
                <w:sz w:val="24"/>
                <w:szCs w:val="24"/>
                <w:highlight w:val="none"/>
                <w:lang w:eastAsia="zh-CN"/>
              </w:rPr>
            </w:pPr>
            <w:r>
              <w:rPr>
                <w:rFonts w:hint="eastAsia" w:asciiTheme="majorEastAsia" w:hAnsiTheme="majorEastAsia" w:eastAsiaTheme="majorEastAsia" w:cstheme="majorEastAsia"/>
                <w:i w:val="0"/>
                <w:iCs w:val="0"/>
                <w:caps w:val="0"/>
                <w:color w:val="333333"/>
                <w:spacing w:val="0"/>
                <w:sz w:val="24"/>
                <w:szCs w:val="24"/>
                <w:highlight w:val="none"/>
                <w:lang w:eastAsia="zh-CN"/>
              </w:rPr>
              <w:t>分值（100分）</w:t>
            </w:r>
          </w:p>
        </w:tc>
        <w:tc>
          <w:tcPr>
            <w:tcW w:w="59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Theme="majorEastAsia" w:hAnsiTheme="majorEastAsia" w:eastAsiaTheme="majorEastAsia" w:cstheme="majorEastAsia"/>
                <w:i w:val="0"/>
                <w:iCs w:val="0"/>
                <w:caps w:val="0"/>
                <w:color w:val="333333"/>
                <w:spacing w:val="0"/>
                <w:sz w:val="24"/>
                <w:szCs w:val="24"/>
                <w:highlight w:val="none"/>
                <w:lang w:eastAsia="zh-CN"/>
              </w:rPr>
            </w:pPr>
            <w:r>
              <w:rPr>
                <w:rFonts w:hint="eastAsia" w:asciiTheme="majorEastAsia" w:hAnsiTheme="majorEastAsia" w:eastAsiaTheme="majorEastAsia" w:cstheme="majorEastAsia"/>
                <w:i w:val="0"/>
                <w:iCs w:val="0"/>
                <w:caps w:val="0"/>
                <w:color w:val="333333"/>
                <w:spacing w:val="0"/>
                <w:sz w:val="24"/>
                <w:szCs w:val="24"/>
                <w:highlight w:val="none"/>
                <w:lang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报价部分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（10分）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p>
        </w:tc>
        <w:tc>
          <w:tcPr>
            <w:tcW w:w="1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投标报价 （10分）</w:t>
            </w:r>
          </w:p>
        </w:tc>
        <w:tc>
          <w:tcPr>
            <w:tcW w:w="59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价格核准：评标小组详细分析、核准价格表，检查其是否存在计算上或累加上的算术错误。综合评分法中的价格分统一采用低价优先法计算，即满足招标要求（通过资格性、符合性审查）且投标价格最低的有效投标报价（指修正后报价，下同）为评标基准价，其价格分为满分。    </w:t>
            </w: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其他投标人的价格分统一按照下列公式计算：</w:t>
            </w: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投标报价得分=(评标基准价/投标报价)×10</w:t>
            </w: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评标小组2/3及以上认为报价严重低于市场价格,属于恶性竞争的,评标小组将给予其投标报价分为0分处理。</w:t>
            </w: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因落实政府采购政策进行价格调整的，以调整后的价格计算评标基准价。小数点后保留2 位有效数字。供应商报价不得超出预算，否则按无效投标处理。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9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商务部分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（16分）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p>
        </w:tc>
        <w:tc>
          <w:tcPr>
            <w:tcW w:w="158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投标人履约能力（12分）</w:t>
            </w:r>
          </w:p>
        </w:tc>
        <w:tc>
          <w:tcPr>
            <w:tcW w:w="59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b w:val="0"/>
                <w:bCs w:val="0"/>
                <w:color w:val="auto"/>
                <w:kern w:val="0"/>
                <w:sz w:val="24"/>
                <w:szCs w:val="24"/>
                <w:highlight w:val="none"/>
                <w:lang w:val="en-US" w:eastAsia="zh-CN" w:bidi="ar"/>
              </w:rPr>
            </w:pPr>
            <w:r>
              <w:rPr>
                <w:rFonts w:hint="eastAsia" w:asciiTheme="majorEastAsia" w:hAnsiTheme="majorEastAsia" w:eastAsiaTheme="majorEastAsia" w:cstheme="majorEastAsia"/>
                <w:b w:val="0"/>
                <w:bCs w:val="0"/>
                <w:color w:val="auto"/>
                <w:kern w:val="0"/>
                <w:sz w:val="24"/>
                <w:szCs w:val="24"/>
                <w:highlight w:val="none"/>
                <w:lang w:val="en-US" w:eastAsia="zh-CN" w:bidi="ar"/>
              </w:rPr>
              <w:t>专业技术团队力量(8分)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1.项目负责人（2分）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项目负责人具有硕士研究生学历，并具有具有计算机技术与软件专业技术资格(水平)高级职称，得2分。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2.项目成员（不包括项目负责人）（6分）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项目成员具有本科及以上学历的，每提供1人得1分，最高得2分；具有专科及以上学历的，每提供1人得0.5分，最高得4分。（6分）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评审依据：提供相关人员学历证书、职称证书，并加盖供应商公章。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p>
        </w:tc>
        <w:tc>
          <w:tcPr>
            <w:tcW w:w="158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p>
        </w:tc>
        <w:tc>
          <w:tcPr>
            <w:tcW w:w="59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b w:val="0"/>
                <w:bCs w:val="0"/>
                <w:color w:val="auto"/>
                <w:kern w:val="0"/>
                <w:sz w:val="24"/>
                <w:szCs w:val="24"/>
                <w:highlight w:val="none"/>
                <w:lang w:val="en-US" w:eastAsia="zh-CN" w:bidi="ar"/>
              </w:rPr>
            </w:pPr>
            <w:r>
              <w:rPr>
                <w:rFonts w:hint="eastAsia" w:asciiTheme="majorEastAsia" w:hAnsiTheme="majorEastAsia" w:eastAsiaTheme="majorEastAsia" w:cstheme="majorEastAsia"/>
                <w:b w:val="0"/>
                <w:bCs w:val="0"/>
                <w:color w:val="auto"/>
                <w:kern w:val="0"/>
                <w:sz w:val="24"/>
                <w:szCs w:val="24"/>
                <w:highlight w:val="none"/>
                <w:lang w:val="en-US" w:eastAsia="zh-CN" w:bidi="ar"/>
              </w:rPr>
              <w:t>用户需求响应（4分）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根据投标人的用户需求响应方面进行评价,优可得4分，良可得2-3分，差可得0-1分。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p>
        </w:tc>
        <w:tc>
          <w:tcPr>
            <w:tcW w:w="1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供应商认证与实力</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（4分）</w:t>
            </w:r>
          </w:p>
        </w:tc>
        <w:tc>
          <w:tcPr>
            <w:tcW w:w="59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1.认证体系（2分）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供应商同时具有经中国国家认证认可监督管理委员会认证机构颁发的质量管理体系认证证书、环境管理体系认证证书、职业健康安全管理体系认证证书，得2分。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b w:val="0"/>
                <w:bCs w:val="0"/>
                <w:color w:val="auto"/>
                <w:kern w:val="0"/>
                <w:sz w:val="24"/>
                <w:szCs w:val="24"/>
                <w:highlight w:val="none"/>
                <w:lang w:val="en-US" w:eastAsia="zh-CN" w:bidi="ar"/>
              </w:rPr>
            </w:pPr>
            <w:r>
              <w:rPr>
                <w:rFonts w:hint="eastAsia" w:asciiTheme="majorEastAsia" w:hAnsiTheme="majorEastAsia" w:eastAsiaTheme="majorEastAsia" w:cstheme="majorEastAsia"/>
                <w:b w:val="0"/>
                <w:bCs w:val="0"/>
                <w:color w:val="auto"/>
                <w:kern w:val="0"/>
                <w:sz w:val="24"/>
                <w:szCs w:val="24"/>
                <w:highlight w:val="none"/>
                <w:lang w:val="en-US" w:eastAsia="zh-CN" w:bidi="ar"/>
              </w:rPr>
              <w:t>2.信息系统支撑（2分）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b w:val="0"/>
                <w:bCs w:val="0"/>
                <w:color w:val="auto"/>
                <w:kern w:val="0"/>
                <w:sz w:val="24"/>
                <w:szCs w:val="24"/>
                <w:highlight w:val="none"/>
                <w:lang w:val="en-US" w:eastAsia="zh-CN" w:bidi="ar"/>
              </w:rPr>
              <w:t>供应商具有自主研发的管理和项目辅助相关工作系统，为工作开展提供充分的信息化手段支撑的，每提供1个得1分，最高得2分。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评审依据：</w:t>
            </w:r>
            <w:r>
              <w:rPr>
                <w:rFonts w:hint="eastAsia" w:asciiTheme="majorEastAsia" w:hAnsiTheme="majorEastAsia" w:eastAsiaTheme="majorEastAsia" w:cstheme="majorEastAsia"/>
                <w:b/>
                <w:bCs/>
                <w:kern w:val="0"/>
                <w:sz w:val="24"/>
                <w:szCs w:val="24"/>
                <w:highlight w:val="none"/>
                <w:lang w:val="en-US" w:eastAsia="zh-CN" w:bidi="ar"/>
              </w:rPr>
              <w:t>响应文件中提供证书扫描件、</w:t>
            </w:r>
            <w:r>
              <w:rPr>
                <w:rFonts w:hint="eastAsia" w:asciiTheme="majorEastAsia" w:hAnsiTheme="majorEastAsia" w:eastAsiaTheme="majorEastAsia" w:cstheme="majorEastAsia"/>
                <w:b/>
                <w:bCs/>
                <w:color w:val="auto"/>
                <w:kern w:val="0"/>
                <w:sz w:val="24"/>
                <w:szCs w:val="24"/>
                <w:highlight w:val="none"/>
                <w:lang w:val="en-US" w:eastAsia="zh-CN" w:bidi="ar"/>
              </w:rPr>
              <w:t>计算机软件著作权登记证书扫描件，</w:t>
            </w:r>
            <w:r>
              <w:rPr>
                <w:rFonts w:hint="eastAsia" w:asciiTheme="majorEastAsia" w:hAnsiTheme="majorEastAsia" w:eastAsiaTheme="majorEastAsia" w:cstheme="majorEastAsia"/>
                <w:b/>
                <w:bCs/>
                <w:kern w:val="0"/>
                <w:sz w:val="24"/>
                <w:szCs w:val="24"/>
                <w:highlight w:val="none"/>
                <w:lang w:val="en-US" w:eastAsia="zh-CN" w:bidi="ar"/>
              </w:rPr>
              <w:t>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9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技术部分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（74分）</w:t>
            </w:r>
          </w:p>
        </w:tc>
        <w:tc>
          <w:tcPr>
            <w:tcW w:w="1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技术总体响</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应情况</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（33分）</w:t>
            </w:r>
          </w:p>
        </w:tc>
        <w:tc>
          <w:tcPr>
            <w:tcW w:w="59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根据供应商针对“采购技术服务需求”中“项目采购要求”的响应情况进行打分：完全满足得33分。其中：“项目采购要求”共11项。每负偏离一项扣3分，满分33分。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p>
        </w:tc>
        <w:tc>
          <w:tcPr>
            <w:tcW w:w="1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服务方案</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（30分）</w:t>
            </w:r>
          </w:p>
        </w:tc>
        <w:tc>
          <w:tcPr>
            <w:tcW w:w="59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bidi="ar"/>
              </w:rPr>
              <w:t>根据供应商对项目需求的理解、服务内容、系统功能</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团队分工等进行综合评价：</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kern w:val="0"/>
                <w:sz w:val="24"/>
                <w:szCs w:val="24"/>
                <w:highlight w:val="none"/>
                <w:lang w:val="en-US" w:eastAsia="zh-CN" w:bidi="ar"/>
              </w:rPr>
              <w:t>方案科学、全面、合理、描述详细、可行性强的，得25-30分；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（2）方案较为科学、全面、合理、描述较为详细、可行性较强的得20-24分；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（3）方案不够科学、全面、合理、描述简单、可行性不够的得10-15分；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p>
        </w:tc>
        <w:tc>
          <w:tcPr>
            <w:tcW w:w="1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项目实施计划（6分）</w:t>
            </w:r>
          </w:p>
        </w:tc>
        <w:tc>
          <w:tcPr>
            <w:tcW w:w="59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根据供应商提供的项目实施计划与需求的匹配度，项目实施计划合理、完善程度等进行综合评价：</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（1）项目实施计划合理、完善，需求匹配度高，得4-6分；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（2）项目实施计划较合理、完善，与需求匹配度一般，得2-3分；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（3）项目实施计划不完善，与需求匹配度较差，得0-1分；</w:t>
            </w:r>
          </w:p>
          <w:p>
            <w:pPr>
              <w:widowControl/>
              <w:adjustRightInd w:val="0"/>
              <w:snapToGrid w:val="0"/>
              <w:ind w:left="0" w:lef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p>
        </w:tc>
        <w:tc>
          <w:tcPr>
            <w:tcW w:w="1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售后服务</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kern w:val="0"/>
                <w:sz w:val="24"/>
                <w:szCs w:val="24"/>
                <w:highlight w:val="none"/>
                <w:lang w:val="en-US" w:eastAsia="zh-CN" w:bidi="ar"/>
              </w:rPr>
            </w:pPr>
            <w:r>
              <w:rPr>
                <w:rFonts w:hint="eastAsia" w:asciiTheme="majorEastAsia" w:hAnsiTheme="majorEastAsia" w:eastAsiaTheme="majorEastAsia" w:cstheme="majorEastAsia"/>
                <w:kern w:val="0"/>
                <w:sz w:val="24"/>
                <w:szCs w:val="24"/>
                <w:highlight w:val="none"/>
                <w:lang w:val="en-US" w:eastAsia="zh-CN" w:bidi="ar"/>
              </w:rPr>
              <w:t>（5分）</w:t>
            </w:r>
          </w:p>
        </w:tc>
        <w:tc>
          <w:tcPr>
            <w:tcW w:w="59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根据供应商对本项目提供的售后服务承诺、具体售后服务内容、响应方式时间等进行综合评价：</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（1）方案全面、合理、描述详细、可行性强的得4-5分；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（2）方案较为全面、合理、描述较为详细、可行性较强的得2-3分；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（3）方案不够全面、合理、描述简单、可行性不够的得0-1分；</w:t>
            </w:r>
          </w:p>
          <w:p>
            <w:pPr>
              <w:widowControl/>
              <w:adjustRightInd w:val="0"/>
              <w:snapToGrid w:val="0"/>
              <w:ind w:left="0" w:leftChars="0" w:firstLine="0" w:firstLineChars="0"/>
              <w:jc w:val="left"/>
              <w:textAlignment w:val="center"/>
              <w:outlineLvl w:val="9"/>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 xml:space="preserve">（4）未提供的不得分。 </w:t>
            </w:r>
          </w:p>
        </w:tc>
      </w:tr>
    </w:tbl>
    <w:p>
      <w:pPr>
        <w:rPr>
          <w:rFonts w:hint="eastAsia" w:asciiTheme="majorEastAsia" w:hAnsiTheme="majorEastAsia" w:eastAsiaTheme="majorEastAsia" w:cstheme="majorEastAsia"/>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方正书宋_GBK">
    <w:altName w:val="宋体-方正超大字符集"/>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宋体-方正超大字符集"/>
    <w:panose1 w:val="02000000000000000000"/>
    <w:charset w:val="86"/>
    <w:family w:val="auto"/>
    <w:pitch w:val="default"/>
    <w:sig w:usb0="00000000" w:usb1="00000000" w:usb2="00000000" w:usb3="00000000" w:csb0="00040000" w:csb1="00000000"/>
  </w:font>
  <w:font w:name="DejaVu Sans">
    <w:altName w:val="Trebuchet MS"/>
    <w:panose1 w:val="020B0603030804020204"/>
    <w:charset w:val="00"/>
    <w:family w:val="auto"/>
    <w:pitch w:val="default"/>
    <w:sig w:usb0="00000000" w:usb1="00000000"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宋体-方正超大字符集">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MjlmNWFlMDI3YWIyNTQ3Y2M3NzFkMzYyNWZkZTkifQ=="/>
  </w:docVars>
  <w:rsids>
    <w:rsidRoot w:val="2876559C"/>
    <w:rsid w:val="009A7605"/>
    <w:rsid w:val="01B40D5D"/>
    <w:rsid w:val="02F348A7"/>
    <w:rsid w:val="033C2014"/>
    <w:rsid w:val="04F23013"/>
    <w:rsid w:val="05681A7F"/>
    <w:rsid w:val="072B4F2D"/>
    <w:rsid w:val="072F58B2"/>
    <w:rsid w:val="07861C15"/>
    <w:rsid w:val="079B5DE2"/>
    <w:rsid w:val="0848067B"/>
    <w:rsid w:val="09515F62"/>
    <w:rsid w:val="0CC43866"/>
    <w:rsid w:val="0D21608C"/>
    <w:rsid w:val="0FB01C7F"/>
    <w:rsid w:val="0FB0474F"/>
    <w:rsid w:val="10625A8B"/>
    <w:rsid w:val="10B53D7C"/>
    <w:rsid w:val="10ED552F"/>
    <w:rsid w:val="11901707"/>
    <w:rsid w:val="11B9502A"/>
    <w:rsid w:val="11BE5ADD"/>
    <w:rsid w:val="11EF15CF"/>
    <w:rsid w:val="13BC23ED"/>
    <w:rsid w:val="13D54C42"/>
    <w:rsid w:val="14E310C9"/>
    <w:rsid w:val="175B52BB"/>
    <w:rsid w:val="17BA3766"/>
    <w:rsid w:val="17C91632"/>
    <w:rsid w:val="17D42B2D"/>
    <w:rsid w:val="17E34548"/>
    <w:rsid w:val="18476546"/>
    <w:rsid w:val="1A760CFF"/>
    <w:rsid w:val="1C881AB4"/>
    <w:rsid w:val="1D56621F"/>
    <w:rsid w:val="1DCD5977"/>
    <w:rsid w:val="1E073C94"/>
    <w:rsid w:val="1FD45F3C"/>
    <w:rsid w:val="1FD84B55"/>
    <w:rsid w:val="20196340"/>
    <w:rsid w:val="209546A1"/>
    <w:rsid w:val="213872F7"/>
    <w:rsid w:val="22802419"/>
    <w:rsid w:val="2301734C"/>
    <w:rsid w:val="235F67B6"/>
    <w:rsid w:val="23F3546E"/>
    <w:rsid w:val="24511B6C"/>
    <w:rsid w:val="24C03F88"/>
    <w:rsid w:val="255136ED"/>
    <w:rsid w:val="257203D2"/>
    <w:rsid w:val="258B3138"/>
    <w:rsid w:val="25A57332"/>
    <w:rsid w:val="270F0B23"/>
    <w:rsid w:val="27F63CA6"/>
    <w:rsid w:val="2876559C"/>
    <w:rsid w:val="29295497"/>
    <w:rsid w:val="29A9551B"/>
    <w:rsid w:val="2C327C79"/>
    <w:rsid w:val="2D011DB9"/>
    <w:rsid w:val="30104CED"/>
    <w:rsid w:val="30D50061"/>
    <w:rsid w:val="32EC7292"/>
    <w:rsid w:val="336B518C"/>
    <w:rsid w:val="342D56C2"/>
    <w:rsid w:val="35187338"/>
    <w:rsid w:val="3560188A"/>
    <w:rsid w:val="359D1013"/>
    <w:rsid w:val="38DE7026"/>
    <w:rsid w:val="3AAA205E"/>
    <w:rsid w:val="3AEF033B"/>
    <w:rsid w:val="3B602C1D"/>
    <w:rsid w:val="3CA36E5C"/>
    <w:rsid w:val="3D6B0562"/>
    <w:rsid w:val="3FDF4453"/>
    <w:rsid w:val="40160629"/>
    <w:rsid w:val="417B445C"/>
    <w:rsid w:val="422A63C1"/>
    <w:rsid w:val="442E5F45"/>
    <w:rsid w:val="450708DD"/>
    <w:rsid w:val="45621F75"/>
    <w:rsid w:val="45D6677F"/>
    <w:rsid w:val="46D51EDE"/>
    <w:rsid w:val="47815C7D"/>
    <w:rsid w:val="48533FF0"/>
    <w:rsid w:val="4A6C7AE0"/>
    <w:rsid w:val="4C4D3A24"/>
    <w:rsid w:val="4CB35A41"/>
    <w:rsid w:val="4D5A7075"/>
    <w:rsid w:val="4E2A07F2"/>
    <w:rsid w:val="4F4C68E4"/>
    <w:rsid w:val="510D090C"/>
    <w:rsid w:val="51A27ECF"/>
    <w:rsid w:val="53A92EDF"/>
    <w:rsid w:val="53E82230"/>
    <w:rsid w:val="550A7F1B"/>
    <w:rsid w:val="55766E6E"/>
    <w:rsid w:val="56BA668B"/>
    <w:rsid w:val="574C4FEA"/>
    <w:rsid w:val="583D5A6D"/>
    <w:rsid w:val="59EC53D5"/>
    <w:rsid w:val="5BDE0BD7"/>
    <w:rsid w:val="5C411A66"/>
    <w:rsid w:val="5C632547"/>
    <w:rsid w:val="5DE56372"/>
    <w:rsid w:val="5DEF0382"/>
    <w:rsid w:val="5E3E32DD"/>
    <w:rsid w:val="5F9737AE"/>
    <w:rsid w:val="5FD3D38F"/>
    <w:rsid w:val="5FD6415C"/>
    <w:rsid w:val="60673EE9"/>
    <w:rsid w:val="61762037"/>
    <w:rsid w:val="62776A1C"/>
    <w:rsid w:val="667547AC"/>
    <w:rsid w:val="685C2879"/>
    <w:rsid w:val="68F7676F"/>
    <w:rsid w:val="695E2E1E"/>
    <w:rsid w:val="696C03D9"/>
    <w:rsid w:val="699966D7"/>
    <w:rsid w:val="69C007A3"/>
    <w:rsid w:val="6A4F3E9F"/>
    <w:rsid w:val="6C517FB4"/>
    <w:rsid w:val="6D5532B9"/>
    <w:rsid w:val="6E5503B1"/>
    <w:rsid w:val="6F14C0DB"/>
    <w:rsid w:val="6F4D066D"/>
    <w:rsid w:val="6F9049FB"/>
    <w:rsid w:val="6FF3714C"/>
    <w:rsid w:val="7064216F"/>
    <w:rsid w:val="715840AA"/>
    <w:rsid w:val="7277060F"/>
    <w:rsid w:val="72B36A2F"/>
    <w:rsid w:val="736742FD"/>
    <w:rsid w:val="738774DB"/>
    <w:rsid w:val="73F961BE"/>
    <w:rsid w:val="74AB0377"/>
    <w:rsid w:val="75691777"/>
    <w:rsid w:val="77A738AB"/>
    <w:rsid w:val="78C61F72"/>
    <w:rsid w:val="7AE128D3"/>
    <w:rsid w:val="7B2B40B0"/>
    <w:rsid w:val="7B876E2F"/>
    <w:rsid w:val="7F3837C4"/>
    <w:rsid w:val="7FD9418D"/>
    <w:rsid w:val="BF5FC312"/>
    <w:rsid w:val="EFFEF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rFonts w:ascii="仿宋_GB2312" w:hAnsi="宋体"/>
      <w:kern w:val="0"/>
      <w:sz w:val="20"/>
    </w:rPr>
  </w:style>
  <w:style w:type="paragraph" w:styleId="3">
    <w:name w:val="Body Text Indent"/>
    <w:basedOn w:val="1"/>
    <w:qFormat/>
    <w:uiPriority w:val="0"/>
    <w:pPr>
      <w:ind w:left="-4" w:leftChars="-2" w:firstLine="560" w:firstLineChars="200"/>
    </w:pPr>
    <w:rPr>
      <w:rFonts w:ascii="宋体"/>
      <w:sz w:val="2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Normal"/>
    <w:qFormat/>
    <w:uiPriority w:val="0"/>
    <w:pPr>
      <w:jc w:val="both"/>
    </w:pPr>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1825</Words>
  <Characters>1891</Characters>
  <Lines>0</Lines>
  <Paragraphs>0</Paragraphs>
  <TotalTime>14</TotalTime>
  <ScaleCrop>false</ScaleCrop>
  <LinksUpToDate>false</LinksUpToDate>
  <CharactersWithSpaces>1911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2023-03-02T09:35:00Z</dcterms:created>
  <dc:creator>YY</dc:creator>
  <cp:lastModifiedBy>Administrator</cp:lastModifiedBy>
  <dcterms:modified xsi:type="dcterms:W3CDTF">2023-05-30T01:23:45Z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EF5BE9DED6D64E9F8028DE54CC8BEE5B</vt:lpwstr>
  </property>
</Properties>
</file>