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附件</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rPr>
        <w:t>年漳州市、县级党委政府表彰奖励项目目录（13项）</w:t>
      </w:r>
    </w:p>
    <w:tbl>
      <w:tblPr>
        <w:tblStyle w:val="6"/>
        <w:tblpPr w:leftFromText="180" w:rightFromText="180" w:vertAnchor="text" w:horzAnchor="page" w:tblpX="715" w:tblpY="184"/>
        <w:tblOverlap w:val="never"/>
        <w:tblW w:w="15330" w:type="dxa"/>
        <w:tblInd w:w="0" w:type="dxa"/>
        <w:tblLayout w:type="fixed"/>
        <w:tblCellMar>
          <w:top w:w="15" w:type="dxa"/>
          <w:left w:w="15" w:type="dxa"/>
          <w:bottom w:w="15" w:type="dxa"/>
          <w:right w:w="15" w:type="dxa"/>
        </w:tblCellMar>
      </w:tblPr>
      <w:tblGrid>
        <w:gridCol w:w="595"/>
        <w:gridCol w:w="1828"/>
        <w:gridCol w:w="1860"/>
        <w:gridCol w:w="2857"/>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18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199"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790"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b w:val="0"/>
                <w:bCs w:val="0"/>
                <w:i w:val="0"/>
                <w:color w:val="000000"/>
                <w:kern w:val="0"/>
                <w:sz w:val="18"/>
                <w:szCs w:val="18"/>
                <w:u w:val="none"/>
                <w:lang w:val="en-US" w:eastAsia="zh-CN" w:bidi="ar"/>
              </w:rPr>
              <w:t>漳州市优秀教育工作者</w:t>
            </w:r>
            <w:r>
              <w:rPr>
                <w:rFonts w:hint="eastAsia" w:ascii="仿宋_GB2312" w:hAnsi="宋体" w:cs="仿宋_GB2312"/>
                <w:b w:val="0"/>
                <w:bCs w:val="0"/>
                <w:i w:val="0"/>
                <w:color w:val="000000"/>
                <w:kern w:val="0"/>
                <w:sz w:val="18"/>
                <w:szCs w:val="18"/>
                <w:u w:val="none"/>
                <w:lang w:val="en-US" w:eastAsia="zh-CN" w:bidi="ar"/>
              </w:rPr>
              <w:t>、</w:t>
            </w:r>
            <w:r>
              <w:rPr>
                <w:rFonts w:hint="eastAsia" w:ascii="仿宋_GB2312" w:hAnsi="宋体" w:eastAsia="仿宋_GB2312" w:cs="仿宋_GB2312"/>
                <w:b w:val="0"/>
                <w:bCs w:val="0"/>
                <w:i w:val="0"/>
                <w:color w:val="000000"/>
                <w:kern w:val="0"/>
                <w:sz w:val="18"/>
                <w:szCs w:val="18"/>
                <w:u w:val="none"/>
                <w:lang w:val="en-US" w:eastAsia="zh-CN" w:bidi="ar"/>
              </w:rPr>
              <w:t>优秀教师</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cs="仿宋_GB2312"/>
                <w:i w:val="0"/>
                <w:color w:val="000000"/>
                <w:kern w:val="0"/>
                <w:sz w:val="18"/>
                <w:szCs w:val="18"/>
                <w:u w:val="none"/>
                <w:lang w:val="en-US" w:eastAsia="zh-CN" w:bidi="ar"/>
              </w:rPr>
            </w:pPr>
            <w:r>
              <w:rPr>
                <w:rFonts w:hint="eastAsia" w:ascii="仿宋_GB2312" w:hAnsi="宋体" w:cs="仿宋_GB2312"/>
                <w:i w:val="0"/>
                <w:color w:val="000000"/>
                <w:kern w:val="0"/>
                <w:sz w:val="18"/>
                <w:szCs w:val="18"/>
                <w:u w:val="none"/>
                <w:lang w:val="en-US" w:eastAsia="zh-CN" w:bidi="ar"/>
              </w:rPr>
              <w:t>主办：市委、市政府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cs="仿宋_GB2312"/>
                <w:i w:val="0"/>
                <w:color w:val="000000"/>
                <w:kern w:val="0"/>
                <w:sz w:val="18"/>
                <w:szCs w:val="18"/>
                <w:u w:val="none"/>
                <w:lang w:val="en-US" w:eastAsia="zh-CN" w:bidi="ar"/>
              </w:rPr>
              <w:t>承办：</w:t>
            </w:r>
            <w:r>
              <w:rPr>
                <w:rFonts w:hint="eastAsia" w:ascii="仿宋_GB2312" w:hAnsi="宋体" w:eastAsia="仿宋_GB2312" w:cs="仿宋_GB2312"/>
                <w:i w:val="0"/>
                <w:color w:val="000000"/>
                <w:kern w:val="0"/>
                <w:sz w:val="18"/>
                <w:szCs w:val="18"/>
                <w:u w:val="none"/>
                <w:lang w:val="en-US" w:eastAsia="zh-CN" w:bidi="ar"/>
              </w:rPr>
              <w:t>市教育局、市人社局</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根据《教师法》《国务院关于加强教师队伍建设的意见》《福建省人民政府关于进一步加强中小学教师队伍建设的意见》，为积极引导广大教师树立崇高的职业理想和正确的教育观、学生观，全面提高师德人文素养</w:t>
            </w:r>
            <w:r>
              <w:rPr>
                <w:rFonts w:hint="eastAsia" w:ascii="仿宋_GB2312" w:hAnsi="宋体" w:cs="仿宋_GB2312"/>
                <w:i w:val="0"/>
                <w:color w:val="000000"/>
                <w:kern w:val="0"/>
                <w:sz w:val="18"/>
                <w:szCs w:val="18"/>
                <w:u w:val="none"/>
                <w:lang w:val="en-US" w:eastAsia="zh-CN" w:bidi="ar"/>
              </w:rPr>
              <w:t>，</w:t>
            </w:r>
            <w:r>
              <w:rPr>
                <w:rFonts w:hint="eastAsia" w:ascii="仿宋_GB2312" w:hAnsi="宋体" w:eastAsia="仿宋_GB2312" w:cs="仿宋_GB2312"/>
                <w:i w:val="0"/>
                <w:color w:val="000000"/>
                <w:kern w:val="0"/>
                <w:sz w:val="18"/>
                <w:szCs w:val="18"/>
                <w:u w:val="none"/>
                <w:lang w:val="en-US" w:eastAsia="zh-CN" w:bidi="ar"/>
              </w:rPr>
              <w:t xml:space="preserve"> 建立健全师德激励机制。</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b w:val="0"/>
                <w:bCs w:val="0"/>
                <w:i w:val="0"/>
                <w:color w:val="000000"/>
                <w:kern w:val="0"/>
                <w:sz w:val="18"/>
                <w:szCs w:val="18"/>
                <w:u w:val="none"/>
                <w:lang w:val="en-US" w:eastAsia="zh-CN" w:bidi="ar"/>
              </w:rPr>
              <w:t>全市各级各类学校</w:t>
            </w:r>
            <w:r>
              <w:rPr>
                <w:rFonts w:hint="eastAsia" w:ascii="仿宋_GB2312" w:hAnsi="宋体" w:cs="仿宋_GB2312"/>
                <w:b w:val="0"/>
                <w:bCs w:val="0"/>
                <w:i w:val="0"/>
                <w:color w:val="000000"/>
                <w:kern w:val="0"/>
                <w:sz w:val="18"/>
                <w:szCs w:val="18"/>
                <w:u w:val="none"/>
                <w:lang w:val="en-US" w:eastAsia="zh-CN" w:bidi="ar"/>
              </w:rPr>
              <w:t>、</w:t>
            </w:r>
            <w:r>
              <w:rPr>
                <w:rFonts w:hint="eastAsia" w:ascii="仿宋_GB2312" w:hAnsi="宋体" w:eastAsia="仿宋_GB2312" w:cs="仿宋_GB2312"/>
                <w:b w:val="0"/>
                <w:bCs w:val="0"/>
                <w:i w:val="0"/>
                <w:color w:val="000000"/>
                <w:kern w:val="0"/>
                <w:sz w:val="18"/>
                <w:szCs w:val="18"/>
                <w:u w:val="none"/>
                <w:lang w:val="en-US" w:eastAsia="zh-CN" w:bidi="ar"/>
              </w:rPr>
              <w:t>教师、教育工作者</w:t>
            </w:r>
            <w:r>
              <w:rPr>
                <w:rFonts w:hint="eastAsia" w:ascii="仿宋_GB2312" w:hAnsi="宋体" w:cs="仿宋_GB2312"/>
                <w:b w:val="0"/>
                <w:bCs w:val="0"/>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100名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lang w:eastAsia="zh-CN"/>
              </w:rPr>
            </w:pPr>
            <w:r>
              <w:rPr>
                <w:rFonts w:hint="eastAsia" w:ascii="仿宋_GB2312" w:hAnsi="仿宋_GB2312"/>
                <w:color w:val="000000"/>
                <w:kern w:val="0"/>
                <w:sz w:val="18"/>
                <w:szCs w:val="18"/>
                <w:lang w:eastAsia="zh-CN"/>
              </w:rPr>
              <w:t>市级</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color w:val="000000"/>
                <w:kern w:val="0"/>
                <w:sz w:val="18"/>
                <w:szCs w:val="18"/>
                <w:lang w:eastAsia="zh-CN"/>
              </w:rPr>
              <w:t>表彰</w:t>
            </w:r>
          </w:p>
        </w:tc>
      </w:tr>
      <w:tr>
        <w:tblPrEx>
          <w:tblLayout w:type="fixed"/>
          <w:tblCellMar>
            <w:top w:w="15" w:type="dxa"/>
            <w:left w:w="15" w:type="dxa"/>
            <w:bottom w:w="15" w:type="dxa"/>
            <w:right w:w="15" w:type="dxa"/>
          </w:tblCellMar>
        </w:tblPrEx>
        <w:trPr>
          <w:trHeight w:val="1510"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2</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漳州市脱贫攻坚先进集体</w:t>
            </w:r>
            <w:r>
              <w:rPr>
                <w:rFonts w:hint="eastAsia" w:ascii="仿宋_GB2312" w:hAnsi="宋体" w:cs="仿宋_GB2312"/>
                <w:i w:val="0"/>
                <w:color w:val="000000"/>
                <w:kern w:val="0"/>
                <w:sz w:val="18"/>
                <w:szCs w:val="18"/>
                <w:u w:val="none"/>
                <w:lang w:val="en-US" w:eastAsia="zh-CN" w:bidi="ar"/>
              </w:rPr>
              <w:t>和</w:t>
            </w:r>
            <w:r>
              <w:rPr>
                <w:rFonts w:hint="eastAsia" w:ascii="仿宋_GB2312" w:hAnsi="宋体" w:eastAsia="仿宋_GB2312" w:cs="仿宋_GB2312"/>
                <w:i w:val="0"/>
                <w:color w:val="000000"/>
                <w:kern w:val="0"/>
                <w:sz w:val="18"/>
                <w:szCs w:val="18"/>
                <w:u w:val="none"/>
                <w:lang w:val="en-US" w:eastAsia="zh-CN" w:bidi="ar"/>
              </w:rPr>
              <w:t>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cs="仿宋_GB2312"/>
                <w:i w:val="0"/>
                <w:color w:val="000000"/>
                <w:kern w:val="0"/>
                <w:sz w:val="18"/>
                <w:szCs w:val="18"/>
                <w:u w:val="none"/>
                <w:lang w:val="en-US" w:eastAsia="zh-CN" w:bidi="ar"/>
              </w:rPr>
            </w:pPr>
            <w:r>
              <w:rPr>
                <w:rFonts w:hint="eastAsia" w:ascii="仿宋_GB2312" w:hAnsi="宋体" w:cs="仿宋_GB2312"/>
                <w:i w:val="0"/>
                <w:color w:val="000000"/>
                <w:kern w:val="0"/>
                <w:sz w:val="18"/>
                <w:szCs w:val="18"/>
                <w:u w:val="none"/>
                <w:lang w:val="en-US" w:eastAsia="zh-CN" w:bidi="ar"/>
              </w:rPr>
              <w:t>主办：市委、市政府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cs="仿宋_GB2312"/>
                <w:i w:val="0"/>
                <w:color w:val="000000"/>
                <w:kern w:val="0"/>
                <w:sz w:val="18"/>
                <w:szCs w:val="18"/>
                <w:u w:val="none"/>
                <w:lang w:val="en-US" w:eastAsia="zh-CN" w:bidi="ar"/>
              </w:rPr>
              <w:t>承办：</w:t>
            </w:r>
            <w:r>
              <w:rPr>
                <w:rFonts w:hint="eastAsia" w:ascii="仿宋_GB2312" w:hAnsi="宋体" w:eastAsia="仿宋_GB2312" w:cs="仿宋_GB2312"/>
                <w:i w:val="0"/>
                <w:color w:val="000000"/>
                <w:kern w:val="0"/>
                <w:sz w:val="18"/>
                <w:szCs w:val="18"/>
                <w:u w:val="none"/>
                <w:lang w:val="en-US" w:eastAsia="zh-CN" w:bidi="ar"/>
              </w:rPr>
              <w:t>市农业局、市扶贫办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根据《中共福建省委、福建省人民政府关于推进精准扶贫打赢脱贫攻坚战的实施意见》（闽委发〔2015〕25号）、《福建省农村扶贫开发办法》(省政府2017第190号令）。</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漳州市扶贫领导小组成员单位、县乡村扶贫系统及工作人员</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40个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100名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脱贫攻坚表彰专项经费</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lang w:eastAsia="zh-CN"/>
              </w:rPr>
            </w:pPr>
            <w:r>
              <w:rPr>
                <w:rFonts w:hint="eastAsia" w:ascii="仿宋_GB2312" w:hAnsi="仿宋_GB2312"/>
                <w:color w:val="000000"/>
                <w:kern w:val="0"/>
                <w:sz w:val="18"/>
                <w:szCs w:val="18"/>
                <w:lang w:eastAsia="zh-CN"/>
              </w:rPr>
              <w:t>市级</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color w:val="000000"/>
                <w:kern w:val="0"/>
                <w:sz w:val="18"/>
                <w:szCs w:val="18"/>
                <w:lang w:eastAsia="zh-CN"/>
              </w:rPr>
              <w:t>表彰</w:t>
            </w:r>
          </w:p>
        </w:tc>
      </w:tr>
      <w:tr>
        <w:tblPrEx>
          <w:tblLayout w:type="fixed"/>
          <w:tblCellMar>
            <w:top w:w="15" w:type="dxa"/>
            <w:left w:w="15" w:type="dxa"/>
            <w:bottom w:w="15" w:type="dxa"/>
            <w:right w:w="15" w:type="dxa"/>
          </w:tblCellMar>
        </w:tblPrEx>
        <w:trPr>
          <w:trHeight w:val="566"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3</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芗城区项目建设工作先进集体和先进个人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cs="仿宋_GB2312"/>
                <w:i w:val="0"/>
                <w:color w:val="000000"/>
                <w:kern w:val="0"/>
                <w:sz w:val="18"/>
                <w:szCs w:val="18"/>
                <w:u w:val="none"/>
                <w:lang w:val="en-US" w:eastAsia="zh-CN" w:bidi="ar"/>
              </w:rPr>
              <w:t>主</w:t>
            </w:r>
            <w:r>
              <w:rPr>
                <w:rFonts w:hint="eastAsia" w:ascii="仿宋_GB2312" w:hAnsi="宋体" w:eastAsia="仿宋_GB2312" w:cs="仿宋_GB2312"/>
                <w:i w:val="0"/>
                <w:color w:val="000000"/>
                <w:kern w:val="0"/>
                <w:sz w:val="18"/>
                <w:szCs w:val="18"/>
                <w:u w:val="none"/>
                <w:lang w:val="en-US" w:eastAsia="zh-CN" w:bidi="ar"/>
              </w:rPr>
              <w:t>办：区委、区政府                          承办：区委办、区政府办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表彰在项目建设工作中作出突出贡献的集体和个人。</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全区机关、企事业单位、村（社区）集体和个人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r>
        <w:tblPrEx>
          <w:tblLayout w:type="fixed"/>
          <w:tblCellMar>
            <w:top w:w="15" w:type="dxa"/>
            <w:left w:w="15" w:type="dxa"/>
            <w:bottom w:w="15" w:type="dxa"/>
            <w:right w:w="15" w:type="dxa"/>
          </w:tblCellMar>
        </w:tblPrEx>
        <w:trPr>
          <w:trHeight w:val="975"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sz w:val="18"/>
                <w:szCs w:val="18"/>
              </w:rPr>
            </w:pPr>
            <w:r>
              <w:rPr>
                <w:rFonts w:hint="eastAsia" w:ascii="仿宋_GB2312" w:hAnsi="仿宋_GB2312" w:cs="仿宋_GB2312"/>
                <w:color w:val="000000"/>
                <w:kern w:val="0"/>
                <w:sz w:val="18"/>
                <w:szCs w:val="18"/>
              </w:rPr>
              <w:t>4</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龙文区实现赶超目标推进高质量发展先进集体和先进个人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主办：区委、区政府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承办：区委办、区政府办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为贯彻落实区委、区政府进一步推进高质量发展和实现赶超的工作要求，表彰先进、激励干部。</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全区机关、企事业单位、村（社区）集体和个人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bl>
    <w:p>
      <w:pPr>
        <w:spacing w:line="596" w:lineRule="exact"/>
        <w:textAlignment w:val="top"/>
        <w:rPr>
          <w:rFonts w:hint="eastAsia" w:ascii="仿宋_GB2312"/>
          <w:spacing w:val="-6"/>
        </w:rPr>
      </w:pPr>
    </w:p>
    <w:tbl>
      <w:tblPr>
        <w:tblStyle w:val="6"/>
        <w:tblpPr w:leftFromText="180" w:rightFromText="180" w:vertAnchor="text" w:horzAnchor="page" w:tblpX="742" w:tblpY="352"/>
        <w:tblOverlap w:val="never"/>
        <w:tblW w:w="15330" w:type="dxa"/>
        <w:tblInd w:w="0" w:type="dxa"/>
        <w:tblLayout w:type="fixed"/>
        <w:tblCellMar>
          <w:top w:w="15" w:type="dxa"/>
          <w:left w:w="15" w:type="dxa"/>
          <w:bottom w:w="15" w:type="dxa"/>
          <w:right w:w="15" w:type="dxa"/>
        </w:tblCellMar>
      </w:tblPr>
      <w:tblGrid>
        <w:gridCol w:w="595"/>
        <w:gridCol w:w="1828"/>
        <w:gridCol w:w="1860"/>
        <w:gridCol w:w="2857"/>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286" w:hRule="atLeas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18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199" w:hRule="atLeas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490"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5</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龙海市经济建设和社会发展先进集体和先进个人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主办：市委、市政府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承办：市委办、市政府办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为调动全市各行各业工作积极性，促进各市重点区域、重点领域、重点项目协调发展，对在经济建设和社会发展中作出突出贡献的单位和个人进行表彰奖励。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kern w:val="0"/>
                <w:sz w:val="18"/>
                <w:szCs w:val="18"/>
              </w:rPr>
            </w:pPr>
            <w:r>
              <w:rPr>
                <w:rFonts w:hint="eastAsia" w:ascii="仿宋_GB2312" w:hAnsi="仿宋_GB2312" w:eastAsia="仿宋_GB2312" w:cs="仿宋_GB2312"/>
                <w:i w:val="0"/>
                <w:color w:val="000000"/>
                <w:kern w:val="0"/>
                <w:sz w:val="18"/>
                <w:szCs w:val="18"/>
                <w:u w:val="none"/>
                <w:lang w:val="en-US" w:eastAsia="zh-CN" w:bidi="ar"/>
              </w:rPr>
              <w:t>县区级</w:t>
            </w:r>
          </w:p>
        </w:tc>
      </w:tr>
      <w:tr>
        <w:tblPrEx>
          <w:tblLayout w:type="fixed"/>
          <w:tblCellMar>
            <w:top w:w="15" w:type="dxa"/>
            <w:left w:w="15" w:type="dxa"/>
            <w:bottom w:w="15" w:type="dxa"/>
            <w:right w:w="15" w:type="dxa"/>
          </w:tblCellMar>
        </w:tblPrEx>
        <w:trPr>
          <w:trHeight w:val="1510"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6</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漳浦县教育工作先进集体和优秀教师、优秀教育工作者</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主办：县委、县政府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《中华人民共和国教师法》及参照省里做法。</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全县各学校、教师、教育工作者</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145"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7</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云霄县经济建设和社会发展先进集体和先进个人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主办：县委、县政府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为全面提高工作积极性，促进全县社会经济科学发展，对在经济建设和社会发展中作出突出贡献的单位和个人进行表彰奖励。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905"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sz w:val="18"/>
                <w:szCs w:val="18"/>
              </w:rPr>
            </w:pPr>
            <w:r>
              <w:rPr>
                <w:rFonts w:hint="eastAsia" w:ascii="仿宋_GB2312" w:hAnsi="仿宋_GB2312" w:cs="仿宋_GB2312"/>
                <w:color w:val="000000"/>
                <w:kern w:val="0"/>
                <w:sz w:val="18"/>
                <w:szCs w:val="18"/>
              </w:rPr>
              <w:t>8</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东山县项目建设先进集体和先进个人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主办：县委、县政府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围绕县委、县政府中心工作，总结经验，调动工作积极性，推进项目建设，表彰奖励先进集体和先进个人。</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020" w:hRule="atLeas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9</w:t>
            </w:r>
          </w:p>
        </w:tc>
        <w:tc>
          <w:tcPr>
            <w:tcW w:w="18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诏安县重点领域、重点项目建设先进集体和先进个人</w:t>
            </w:r>
          </w:p>
        </w:tc>
        <w:tc>
          <w:tcPr>
            <w:tcW w:w="18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 xml:space="preserve">主办：县委、县政府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8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中共诏安县委、诏安县人民政府关于2019年“重点领域、重点项目建设先进集体和先进个人”活动方案。</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r>
              <w:rPr>
                <w:rFonts w:hint="eastAsia" w:ascii="仿宋_GB2312" w:hAnsi="宋体" w:cs="仿宋_GB2312"/>
                <w:i w:val="0"/>
                <w:color w:val="000000"/>
                <w:kern w:val="0"/>
                <w:sz w:val="18"/>
                <w:szCs w:val="18"/>
                <w:u w:val="none"/>
                <w:lang w:val="en-US" w:eastAsia="zh-CN" w:bidi="ar"/>
              </w:rPr>
              <w:t>年</w:t>
            </w:r>
          </w:p>
        </w:tc>
        <w:tc>
          <w:tcPr>
            <w:tcW w:w="594"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bl>
    <w:p>
      <w:pPr>
        <w:spacing w:line="596" w:lineRule="exact"/>
        <w:textAlignment w:val="top"/>
        <w:rPr>
          <w:rFonts w:hint="eastAsia"/>
        </w:rPr>
      </w:pPr>
    </w:p>
    <w:p>
      <w:pPr>
        <w:spacing w:line="596" w:lineRule="exact"/>
        <w:textAlignment w:val="top"/>
        <w:rPr>
          <w:rFonts w:hint="eastAsia" w:ascii="仿宋_GB2312"/>
          <w:spacing w:val="-6"/>
        </w:rPr>
      </w:pPr>
      <w:bookmarkStart w:id="1" w:name="_GoBack"/>
      <w:bookmarkEnd w:id="1"/>
      <w:bookmarkStart w:id="0" w:name="BodyEnd"/>
      <w:bookmarkEnd w:id="0"/>
    </w:p>
    <w:tbl>
      <w:tblPr>
        <w:tblStyle w:val="6"/>
        <w:tblpPr w:leftFromText="180" w:rightFromText="180" w:vertAnchor="text" w:horzAnchor="page" w:tblpX="695" w:tblpY="598"/>
        <w:tblOverlap w:val="never"/>
        <w:tblW w:w="15330" w:type="dxa"/>
        <w:tblInd w:w="0" w:type="dxa"/>
        <w:tblLayout w:type="fixed"/>
        <w:tblCellMar>
          <w:top w:w="15" w:type="dxa"/>
          <w:left w:w="15" w:type="dxa"/>
          <w:bottom w:w="15" w:type="dxa"/>
          <w:right w:w="15" w:type="dxa"/>
        </w:tblCellMar>
      </w:tblPr>
      <w:tblGrid>
        <w:gridCol w:w="595"/>
        <w:gridCol w:w="2100"/>
        <w:gridCol w:w="1827"/>
        <w:gridCol w:w="2618"/>
        <w:gridCol w:w="2278"/>
        <w:gridCol w:w="654"/>
        <w:gridCol w:w="696"/>
        <w:gridCol w:w="640"/>
        <w:gridCol w:w="682"/>
        <w:gridCol w:w="1173"/>
        <w:gridCol w:w="805"/>
        <w:gridCol w:w="668"/>
        <w:gridCol w:w="594"/>
      </w:tblGrid>
      <w:tr>
        <w:tblPrEx>
          <w:tblLayout w:type="fixed"/>
          <w:tblCellMar>
            <w:top w:w="15" w:type="dxa"/>
            <w:left w:w="15" w:type="dxa"/>
            <w:bottom w:w="15" w:type="dxa"/>
            <w:right w:w="15" w:type="dxa"/>
          </w:tblCellMar>
        </w:tblPrEx>
        <w:trPr>
          <w:trHeight w:val="671" w:hRule="exact"/>
        </w:trPr>
        <w:tc>
          <w:tcPr>
            <w:tcW w:w="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序号</w:t>
            </w:r>
          </w:p>
        </w:tc>
        <w:tc>
          <w:tcPr>
            <w:tcW w:w="21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项目名称</w:t>
            </w:r>
          </w:p>
        </w:tc>
        <w:tc>
          <w:tcPr>
            <w:tcW w:w="18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主（承）办单位</w:t>
            </w:r>
          </w:p>
        </w:tc>
        <w:tc>
          <w:tcPr>
            <w:tcW w:w="2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理由依据</w:t>
            </w:r>
          </w:p>
        </w:tc>
        <w:tc>
          <w:tcPr>
            <w:tcW w:w="22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评选</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范围</w:t>
            </w:r>
          </w:p>
        </w:tc>
        <w:tc>
          <w:tcPr>
            <w:tcW w:w="6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评选周期</w:t>
            </w:r>
          </w:p>
        </w:tc>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表彰名额</w:t>
            </w:r>
          </w:p>
        </w:tc>
        <w:tc>
          <w:tcPr>
            <w:tcW w:w="18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奖励办法</w:t>
            </w:r>
          </w:p>
        </w:tc>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经费</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来源</w:t>
            </w:r>
          </w:p>
        </w:tc>
        <w:tc>
          <w:tcPr>
            <w:tcW w:w="6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开展</w:t>
            </w:r>
          </w:p>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时间</w:t>
            </w:r>
          </w:p>
        </w:tc>
        <w:tc>
          <w:tcPr>
            <w:tcW w:w="59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b/>
                <w:bCs/>
                <w:color w:val="000000"/>
                <w:kern w:val="0"/>
                <w:sz w:val="22"/>
                <w:szCs w:val="22"/>
              </w:rPr>
            </w:pPr>
            <w:r>
              <w:rPr>
                <w:rFonts w:hint="eastAsia" w:ascii="仿宋" w:hAnsi="仿宋" w:eastAsia="仿宋" w:cs="仿宋"/>
                <w:b/>
                <w:bCs/>
                <w:color w:val="000000"/>
                <w:kern w:val="0"/>
                <w:sz w:val="22"/>
                <w:szCs w:val="22"/>
              </w:rPr>
              <w:t>备注</w:t>
            </w:r>
          </w:p>
        </w:tc>
      </w:tr>
      <w:tr>
        <w:tblPrEx>
          <w:tblLayout w:type="fixed"/>
          <w:tblCellMar>
            <w:top w:w="15" w:type="dxa"/>
            <w:left w:w="15" w:type="dxa"/>
            <w:bottom w:w="15" w:type="dxa"/>
            <w:right w:w="15" w:type="dxa"/>
          </w:tblCellMar>
        </w:tblPrEx>
        <w:trPr>
          <w:trHeight w:val="562" w:hRule="exact"/>
        </w:trPr>
        <w:tc>
          <w:tcPr>
            <w:tcW w:w="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1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18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22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6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6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集体</w:t>
            </w:r>
          </w:p>
        </w:tc>
        <w:tc>
          <w:tcPr>
            <w:tcW w:w="11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个人</w:t>
            </w:r>
          </w:p>
        </w:tc>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c>
          <w:tcPr>
            <w:tcW w:w="59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b/>
                <w:bCs/>
                <w:color w:val="000000"/>
                <w:sz w:val="22"/>
                <w:szCs w:val="22"/>
              </w:rPr>
            </w:pPr>
          </w:p>
        </w:tc>
      </w:tr>
      <w:tr>
        <w:tblPrEx>
          <w:tblLayout w:type="fixed"/>
          <w:tblCellMar>
            <w:top w:w="15" w:type="dxa"/>
            <w:left w:w="15" w:type="dxa"/>
            <w:bottom w:w="15" w:type="dxa"/>
            <w:right w:w="15" w:type="dxa"/>
          </w:tblCellMar>
        </w:tblPrEx>
        <w:trPr>
          <w:trHeight w:val="1220"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10</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平和县“三大攻坚战”先进集体和先进个人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主办：县委、县政府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为激发各级干部干事创业积极性，对在打好“三大攻坚战”工作中做出突出贡献的单位和工作人员进行表彰奖励。</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220"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11</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南靖县重点工作先进单位和先进个人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主办：县委、县政府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南靖县委工作要点。</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065"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s="仿宋_GB2312"/>
                <w:color w:val="000000"/>
                <w:kern w:val="0"/>
                <w:sz w:val="18"/>
                <w:szCs w:val="18"/>
              </w:rPr>
            </w:pPr>
            <w:r>
              <w:rPr>
                <w:rFonts w:hint="eastAsia" w:ascii="仿宋_GB2312" w:hAnsi="仿宋_GB2312" w:cs="仿宋_GB2312"/>
                <w:color w:val="000000"/>
                <w:kern w:val="0"/>
                <w:sz w:val="18"/>
                <w:szCs w:val="18"/>
              </w:rPr>
              <w:t>12</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华安县社会事业建设工作先进集体和</w:t>
            </w:r>
            <w:r>
              <w:rPr>
                <w:rFonts w:hint="eastAsia" w:ascii="仿宋_GB2312" w:hAnsi="宋体" w:cs="仿宋_GB2312"/>
                <w:i w:val="0"/>
                <w:color w:val="000000"/>
                <w:kern w:val="0"/>
                <w:sz w:val="18"/>
                <w:szCs w:val="18"/>
                <w:u w:val="none"/>
                <w:lang w:val="en-US" w:eastAsia="zh-CN" w:bidi="ar"/>
              </w:rPr>
              <w:t>先进</w:t>
            </w:r>
            <w:r>
              <w:rPr>
                <w:rFonts w:hint="eastAsia" w:ascii="仿宋_GB2312" w:hAnsi="宋体" w:eastAsia="仿宋_GB2312" w:cs="仿宋_GB2312"/>
                <w:i w:val="0"/>
                <w:color w:val="000000"/>
                <w:kern w:val="0"/>
                <w:sz w:val="18"/>
                <w:szCs w:val="18"/>
                <w:u w:val="none"/>
                <w:lang w:val="en-US" w:eastAsia="zh-CN" w:bidi="ar"/>
              </w:rPr>
              <w:t>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主办：县委、县政府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为了加快推进华安县社会事业的快速发展。</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bCs/>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r>
        <w:tblPrEx>
          <w:tblLayout w:type="fixed"/>
          <w:tblCellMar>
            <w:top w:w="15" w:type="dxa"/>
            <w:left w:w="15" w:type="dxa"/>
            <w:bottom w:w="15" w:type="dxa"/>
            <w:right w:w="15" w:type="dxa"/>
          </w:tblCellMar>
        </w:tblPrEx>
        <w:trPr>
          <w:trHeight w:val="1220" w:hRule="exact"/>
        </w:trPr>
        <w:tc>
          <w:tcPr>
            <w:tcW w:w="595"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textAlignment w:val="center"/>
              <w:rPr>
                <w:rFonts w:hint="eastAsia" w:ascii="仿宋_GB2312" w:hAnsi="仿宋_GB2312" w:eastAsia="宋体"/>
                <w:color w:val="000000"/>
                <w:sz w:val="18"/>
                <w:szCs w:val="18"/>
              </w:rPr>
            </w:pPr>
            <w:r>
              <w:rPr>
                <w:rFonts w:hint="eastAsia" w:ascii="仿宋_GB2312" w:hAnsi="仿宋_GB2312" w:cs="仿宋_GB2312"/>
                <w:color w:val="000000"/>
                <w:kern w:val="0"/>
                <w:sz w:val="18"/>
                <w:szCs w:val="18"/>
              </w:rPr>
              <w:t>13</w:t>
            </w:r>
          </w:p>
        </w:tc>
        <w:tc>
          <w:tcPr>
            <w:tcW w:w="21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b w:val="0"/>
                <w:bCs w:val="0"/>
                <w:i w:val="0"/>
                <w:color w:val="000000"/>
                <w:kern w:val="0"/>
                <w:sz w:val="18"/>
                <w:szCs w:val="18"/>
                <w:u w:val="none"/>
                <w:lang w:val="en-US" w:eastAsia="zh-CN" w:bidi="ar"/>
              </w:rPr>
              <w:t>长泰县2019年度中心工作先进单位和先进个人</w:t>
            </w:r>
          </w:p>
        </w:tc>
        <w:tc>
          <w:tcPr>
            <w:tcW w:w="18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主办：县委、县政府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承办：县委办、县政府办</w:t>
            </w:r>
          </w:p>
        </w:tc>
        <w:tc>
          <w:tcPr>
            <w:tcW w:w="26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推进各方面工作发展。</w:t>
            </w:r>
          </w:p>
        </w:tc>
        <w:tc>
          <w:tcPr>
            <w:tcW w:w="22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s="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全县机关、企事业单位、村集体、个人</w:t>
            </w:r>
            <w:r>
              <w:rPr>
                <w:rFonts w:hint="eastAsia" w:ascii="仿宋_GB2312" w:hAnsi="宋体" w:cs="仿宋_GB2312"/>
                <w:i w:val="0"/>
                <w:color w:val="000000"/>
                <w:kern w:val="0"/>
                <w:sz w:val="18"/>
                <w:szCs w:val="18"/>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5年</w:t>
            </w:r>
          </w:p>
        </w:tc>
        <w:tc>
          <w:tcPr>
            <w:tcW w:w="69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25个</w:t>
            </w:r>
          </w:p>
        </w:tc>
        <w:tc>
          <w:tcPr>
            <w:tcW w:w="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60名</w:t>
            </w:r>
          </w:p>
        </w:tc>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颁发奖牌、证书</w:t>
            </w:r>
          </w:p>
        </w:tc>
        <w:tc>
          <w:tcPr>
            <w:tcW w:w="117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精神奖励和物质奖励相结合</w:t>
            </w:r>
          </w:p>
        </w:tc>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财政拨款</w:t>
            </w:r>
          </w:p>
        </w:tc>
        <w:tc>
          <w:tcPr>
            <w:tcW w:w="6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仿宋_GB2312" w:hAnsi="仿宋_GB2312"/>
                <w:color w:val="000000"/>
                <w:sz w:val="18"/>
                <w:szCs w:val="18"/>
              </w:rPr>
            </w:pPr>
            <w:r>
              <w:rPr>
                <w:rFonts w:hint="eastAsia" w:ascii="仿宋_GB2312" w:hAnsi="宋体" w:eastAsia="仿宋_GB2312" w:cs="仿宋_GB2312"/>
                <w:i w:val="0"/>
                <w:color w:val="000000"/>
                <w:kern w:val="0"/>
                <w:sz w:val="18"/>
                <w:szCs w:val="18"/>
                <w:u w:val="none"/>
                <w:lang w:val="en-US" w:eastAsia="zh-CN" w:bidi="ar"/>
              </w:rPr>
              <w:t>2019</w:t>
            </w:r>
          </w:p>
        </w:tc>
        <w:tc>
          <w:tcPr>
            <w:tcW w:w="59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color w:val="000000"/>
                <w:kern w:val="0"/>
                <w:sz w:val="18"/>
                <w:szCs w:val="18"/>
              </w:rPr>
            </w:pPr>
            <w:r>
              <w:rPr>
                <w:rFonts w:hint="eastAsia" w:ascii="仿宋_GB2312" w:hAnsi="仿宋_GB2312"/>
                <w:color w:val="000000"/>
                <w:kern w:val="0"/>
                <w:sz w:val="18"/>
                <w:szCs w:val="18"/>
              </w:rPr>
              <w:t>县区级</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431F00"/>
    <w:rsid w:val="577405F2"/>
    <w:rsid w:val="68DC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2019-03-05T07:49:45Z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