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w:t>
      </w:r>
    </w:p>
    <w:p>
      <w:pPr>
        <w:rPr>
          <w:rFonts w:hint="eastAsia" w:ascii="黑体" w:hAnsi="黑体" w:eastAsia="黑体" w:cs="黑体"/>
          <w:szCs w:val="32"/>
        </w:rPr>
      </w:pPr>
    </w:p>
    <w:p>
      <w:pPr>
        <w:jc w:val="center"/>
        <w:rPr>
          <w:rFonts w:hint="eastAsia" w:ascii="黑体" w:hAnsi="黑体" w:eastAsia="黑体" w:cs="黑体"/>
          <w:szCs w:val="32"/>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年厦门市、县级党委政府表彰奖励项目目录（8项）</w:t>
      </w:r>
    </w:p>
    <w:tbl>
      <w:tblPr>
        <w:tblStyle w:val="6"/>
        <w:tblpPr w:leftFromText="180" w:rightFromText="180" w:vertAnchor="text" w:horzAnchor="page" w:tblpX="695" w:tblpY="598"/>
        <w:tblOverlap w:val="never"/>
        <w:tblW w:w="14736" w:type="dxa"/>
        <w:tblInd w:w="0" w:type="dxa"/>
        <w:tblLayout w:type="fixed"/>
        <w:tblCellMar>
          <w:top w:w="15" w:type="dxa"/>
          <w:left w:w="15" w:type="dxa"/>
          <w:bottom w:w="15" w:type="dxa"/>
          <w:right w:w="15" w:type="dxa"/>
        </w:tblCellMar>
      </w:tblPr>
      <w:tblGrid>
        <w:gridCol w:w="595"/>
        <w:gridCol w:w="2100"/>
        <w:gridCol w:w="1683"/>
        <w:gridCol w:w="2762"/>
        <w:gridCol w:w="2420"/>
        <w:gridCol w:w="512"/>
        <w:gridCol w:w="696"/>
        <w:gridCol w:w="640"/>
        <w:gridCol w:w="682"/>
        <w:gridCol w:w="1173"/>
        <w:gridCol w:w="805"/>
        <w:gridCol w:w="668"/>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6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7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r>
      <w:tr>
        <w:tblPrEx>
          <w:tblLayout w:type="fixed"/>
          <w:tblCellMar>
            <w:top w:w="15" w:type="dxa"/>
            <w:left w:w="15" w:type="dxa"/>
            <w:bottom w:w="15" w:type="dxa"/>
            <w:right w:w="15" w:type="dxa"/>
          </w:tblCellMar>
        </w:tblPrEx>
        <w:trPr>
          <w:trHeight w:val="362"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7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225"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i w:val="0"/>
                <w:color w:val="000000"/>
                <w:kern w:val="0"/>
                <w:sz w:val="18"/>
                <w:szCs w:val="18"/>
                <w:u w:val="none"/>
                <w:lang w:val="en-US" w:eastAsia="zh-CN" w:bidi="ar"/>
              </w:rPr>
              <w:t>厦门市</w:t>
            </w:r>
            <w:r>
              <w:rPr>
                <w:rFonts w:hint="eastAsia" w:ascii="仿宋_GB2312" w:hAnsi="仿宋_GB2312" w:eastAsia="仿宋_GB2312" w:cs="仿宋_GB2312"/>
                <w:i w:val="0"/>
                <w:color w:val="000000"/>
                <w:kern w:val="0"/>
                <w:sz w:val="18"/>
                <w:szCs w:val="18"/>
                <w:u w:val="none"/>
                <w:lang w:val="en-US" w:eastAsia="zh-CN" w:bidi="ar"/>
              </w:rPr>
              <w:t>杰出人才和人才工作先进集体、先进个人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主办：市委、市政府</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承办：市委组织部、市人社局、市财政局等</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围绕厦门市经济社会发展，在全市范围表彰一批做出贡献的杰出人才和人才工作先进集体、先进个人。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由市委组织部、市人社局、市财政局等部门牵头在全市范围推荐评选厦门市杰出人才和人才工作先进集体、先进个人。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40</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123"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b w:val="0"/>
                <w:bCs w:val="0"/>
                <w:i w:val="0"/>
                <w:color w:val="000000"/>
                <w:kern w:val="0"/>
                <w:sz w:val="18"/>
                <w:szCs w:val="18"/>
                <w:u w:val="none"/>
                <w:lang w:val="en-US" w:eastAsia="zh-CN" w:bidi="ar"/>
              </w:rPr>
              <w:t>厦门市</w:t>
            </w:r>
            <w:r>
              <w:rPr>
                <w:rFonts w:hint="eastAsia" w:ascii="仿宋_GB2312" w:hAnsi="仿宋_GB2312" w:eastAsia="仿宋_GB2312" w:cs="仿宋_GB2312"/>
                <w:b w:val="0"/>
                <w:bCs w:val="0"/>
                <w:i w:val="0"/>
                <w:color w:val="000000"/>
                <w:kern w:val="0"/>
                <w:sz w:val="18"/>
                <w:szCs w:val="18"/>
                <w:u w:val="none"/>
                <w:lang w:val="en-US" w:eastAsia="zh-CN" w:bidi="ar"/>
              </w:rPr>
              <w:t>劳动模范和劳动工作先进集体、先进个人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eastAsia="仿宋_GB2312" w:cs="仿宋_GB2312"/>
                <w:b w:val="0"/>
                <w:bCs w:val="0"/>
                <w:i w:val="0"/>
                <w:color w:val="000000"/>
                <w:kern w:val="0"/>
                <w:sz w:val="18"/>
                <w:szCs w:val="18"/>
                <w:u w:val="none"/>
                <w:lang w:val="en-US" w:eastAsia="zh-CN" w:bidi="ar"/>
              </w:rPr>
            </w:pPr>
            <w:r>
              <w:rPr>
                <w:rFonts w:hint="eastAsia" w:ascii="仿宋_GB2312" w:hAnsi="仿宋_GB2312" w:eastAsia="仿宋_GB2312" w:cs="仿宋_GB2312"/>
                <w:b w:val="0"/>
                <w:bCs w:val="0"/>
                <w:i w:val="0"/>
                <w:color w:val="000000"/>
                <w:kern w:val="0"/>
                <w:sz w:val="18"/>
                <w:szCs w:val="18"/>
                <w:u w:val="none"/>
                <w:lang w:val="en-US" w:eastAsia="zh-CN" w:bidi="ar"/>
              </w:rPr>
              <w:t>主办：市委、市政府</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承办：市总工会、市残联等</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为激励广大劳动者更好投身厦门市“五大发展”示范市建设工作，表彰一批劳动模范和劳动工作先进集体、先进个人。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由市总工会、市残联等部门牵头在全市范围推荐评选厦门市劳动模范和劳动工作先进集体、先进个人。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40</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186"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b w:val="0"/>
                <w:bCs w:val="0"/>
                <w:i w:val="0"/>
                <w:color w:val="000000"/>
                <w:kern w:val="0"/>
                <w:sz w:val="18"/>
                <w:szCs w:val="18"/>
                <w:u w:val="none"/>
                <w:lang w:val="en-US" w:eastAsia="zh-CN" w:bidi="ar"/>
              </w:rPr>
              <w:t>思明区</w:t>
            </w:r>
            <w:r>
              <w:rPr>
                <w:rFonts w:hint="eastAsia" w:ascii="仿宋_GB2312" w:hAnsi="仿宋_GB2312" w:eastAsia="仿宋_GB2312" w:cs="仿宋_GB2312"/>
                <w:b w:val="0"/>
                <w:bCs w:val="0"/>
                <w:i w:val="0"/>
                <w:color w:val="000000"/>
                <w:kern w:val="0"/>
                <w:sz w:val="18"/>
                <w:szCs w:val="18"/>
                <w:u w:val="none"/>
                <w:lang w:val="en-US" w:eastAsia="zh-CN" w:bidi="ar"/>
              </w:rPr>
              <w:t>人才青年妇女劳动工作先进集体</w:t>
            </w:r>
            <w:r>
              <w:rPr>
                <w:rFonts w:hint="eastAsia" w:ascii="仿宋_GB2312" w:hAnsi="仿宋_GB2312" w:cs="仿宋_GB2312"/>
                <w:b w:val="0"/>
                <w:bCs w:val="0"/>
                <w:i w:val="0"/>
                <w:color w:val="000000"/>
                <w:kern w:val="0"/>
                <w:sz w:val="18"/>
                <w:szCs w:val="18"/>
                <w:u w:val="none"/>
                <w:lang w:val="en-US" w:eastAsia="zh-CN" w:bidi="ar"/>
              </w:rPr>
              <w:t>和劳动模范、杰出人才、青年妇女</w:t>
            </w:r>
            <w:r>
              <w:rPr>
                <w:rFonts w:hint="eastAsia" w:ascii="仿宋_GB2312" w:hAnsi="仿宋_GB2312" w:eastAsia="仿宋_GB2312" w:cs="仿宋_GB2312"/>
                <w:b w:val="0"/>
                <w:bCs w:val="0"/>
                <w:i w:val="0"/>
                <w:color w:val="000000"/>
                <w:kern w:val="0"/>
                <w:sz w:val="18"/>
                <w:szCs w:val="18"/>
                <w:u w:val="none"/>
                <w:lang w:val="en-US" w:eastAsia="zh-CN" w:bidi="ar"/>
              </w:rPr>
              <w:t>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围绕思明区经济社会发展，在全区范围内表彰一批杰出人才和人才工作、优秀青年妇女和青年妇女工作、劳动模范和劳动工作先进集体、先进个人。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由思明区牵头在全区范围推荐评选思明区杰出人才和人才工作、优秀青年妇女和青年妇女工作、劳动模范和劳动工作先进集体、先进个人。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087"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sz w:val="18"/>
                <w:szCs w:val="18"/>
              </w:rPr>
            </w:pPr>
            <w:r>
              <w:rPr>
                <w:rFonts w:hint="eastAsia" w:ascii="仿宋_GB2312" w:hAnsi="仿宋_GB2312" w:cs="仿宋_GB2312"/>
                <w:color w:val="000000"/>
                <w:kern w:val="0"/>
                <w:sz w:val="18"/>
                <w:szCs w:val="18"/>
              </w:rPr>
              <w:t>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b w:val="0"/>
                <w:bCs w:val="0"/>
                <w:i w:val="0"/>
                <w:color w:val="000000"/>
                <w:kern w:val="0"/>
                <w:sz w:val="18"/>
                <w:szCs w:val="18"/>
                <w:u w:val="none"/>
                <w:lang w:val="en-US" w:eastAsia="zh-CN" w:bidi="ar"/>
              </w:rPr>
              <w:t>湖里区</w:t>
            </w:r>
            <w:r>
              <w:rPr>
                <w:rFonts w:hint="eastAsia" w:ascii="仿宋_GB2312" w:hAnsi="仿宋_GB2312" w:eastAsia="仿宋_GB2312" w:cs="仿宋_GB2312"/>
                <w:b w:val="0"/>
                <w:bCs w:val="0"/>
                <w:i w:val="0"/>
                <w:color w:val="000000"/>
                <w:kern w:val="0"/>
                <w:sz w:val="18"/>
                <w:szCs w:val="18"/>
                <w:u w:val="none"/>
                <w:lang w:val="en-US" w:eastAsia="zh-CN" w:bidi="ar"/>
              </w:rPr>
              <w:t>优秀人才、青年、妇女，青年妇女工作先进集体、先进个人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围绕湖里区经济社会发展，在全区范围内表彰一批优秀人才、青年、妇女，青年妇女工作先进集体、先进个人。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由湖里区牵头在全区范围推荐评选湖里区优秀人才、青年、妇女，青年妇女工作先进集体、先进个人。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bl>
    <w:p>
      <w:pPr>
        <w:rPr>
          <w:rFonts w:hint="eastAsia" w:ascii="方正小标宋简体" w:hAnsi="方正小标宋简体" w:eastAsia="方正小标宋简体" w:cs="方正小标宋简体"/>
          <w:sz w:val="21"/>
          <w:szCs w:val="21"/>
        </w:rPr>
      </w:pPr>
    </w:p>
    <w:p>
      <w:pPr>
        <w:rPr>
          <w:rFonts w:hint="eastAsia" w:ascii="方正小标宋简体" w:hAnsi="方正小标宋简体" w:eastAsia="方正小标宋简体" w:cs="方正小标宋简体"/>
          <w:sz w:val="21"/>
          <w:szCs w:val="21"/>
        </w:rPr>
      </w:pPr>
    </w:p>
    <w:tbl>
      <w:tblPr>
        <w:tblStyle w:val="6"/>
        <w:tblpPr w:leftFromText="180" w:rightFromText="180" w:vertAnchor="text" w:horzAnchor="page" w:tblpX="843" w:tblpY="351"/>
        <w:tblOverlap w:val="never"/>
        <w:tblW w:w="14736" w:type="dxa"/>
        <w:tblInd w:w="0" w:type="dxa"/>
        <w:tblLayout w:type="fixed"/>
        <w:tblCellMar>
          <w:top w:w="15" w:type="dxa"/>
          <w:left w:w="15" w:type="dxa"/>
          <w:bottom w:w="15" w:type="dxa"/>
          <w:right w:w="15" w:type="dxa"/>
        </w:tblCellMar>
      </w:tblPr>
      <w:tblGrid>
        <w:gridCol w:w="595"/>
        <w:gridCol w:w="2100"/>
        <w:gridCol w:w="1683"/>
        <w:gridCol w:w="2762"/>
        <w:gridCol w:w="2420"/>
        <w:gridCol w:w="512"/>
        <w:gridCol w:w="696"/>
        <w:gridCol w:w="640"/>
        <w:gridCol w:w="682"/>
        <w:gridCol w:w="1173"/>
        <w:gridCol w:w="805"/>
        <w:gridCol w:w="668"/>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6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7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r>
      <w:tr>
        <w:tblPrEx>
          <w:tblLayout w:type="fixed"/>
          <w:tblCellMar>
            <w:top w:w="15" w:type="dxa"/>
            <w:left w:w="15" w:type="dxa"/>
            <w:bottom w:w="15" w:type="dxa"/>
            <w:right w:w="15" w:type="dxa"/>
          </w:tblCellMar>
        </w:tblPrEx>
        <w:trPr>
          <w:trHeight w:val="362"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7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225"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5</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cs="仿宋_GB2312"/>
                <w:i w:val="0"/>
                <w:color w:val="000000"/>
                <w:kern w:val="0"/>
                <w:sz w:val="18"/>
                <w:szCs w:val="18"/>
                <w:u w:val="none"/>
                <w:lang w:val="en-US" w:eastAsia="zh-CN" w:bidi="ar"/>
              </w:rPr>
              <w:t>集美区</w:t>
            </w:r>
            <w:r>
              <w:rPr>
                <w:rFonts w:hint="eastAsia" w:ascii="仿宋_GB2312" w:hAnsi="仿宋_GB2312" w:eastAsia="仿宋_GB2312" w:cs="仿宋_GB2312"/>
                <w:i w:val="0"/>
                <w:color w:val="000000"/>
                <w:kern w:val="0"/>
                <w:sz w:val="18"/>
                <w:szCs w:val="18"/>
                <w:u w:val="none"/>
                <w:lang w:val="en-US" w:eastAsia="zh-CN" w:bidi="ar"/>
              </w:rPr>
              <w:t>科技、教育、人才工作先进集体</w:t>
            </w:r>
            <w:r>
              <w:rPr>
                <w:rFonts w:hint="eastAsia" w:ascii="仿宋_GB2312" w:hAnsi="仿宋_GB2312" w:cs="仿宋_GB2312"/>
                <w:i w:val="0"/>
                <w:color w:val="000000"/>
                <w:kern w:val="0"/>
                <w:sz w:val="18"/>
                <w:szCs w:val="18"/>
                <w:u w:val="none"/>
                <w:lang w:val="en-US" w:eastAsia="zh-CN" w:bidi="ar"/>
              </w:rPr>
              <w:t>和</w:t>
            </w:r>
            <w:r>
              <w:rPr>
                <w:rFonts w:hint="eastAsia" w:ascii="仿宋_GB2312" w:hAnsi="仿宋_GB2312" w:eastAsia="仿宋_GB2312" w:cs="仿宋_GB2312"/>
                <w:i w:val="0"/>
                <w:color w:val="000000"/>
                <w:kern w:val="0"/>
                <w:sz w:val="18"/>
                <w:szCs w:val="18"/>
                <w:u w:val="none"/>
                <w:lang w:val="en-US" w:eastAsia="zh-CN" w:bidi="ar"/>
              </w:rPr>
              <w:t>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围绕集美区经济社会发展，在全区范围内表彰一批科技、教育、人才工作先进集体、先进个人。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由集美区牵头在全区范围推荐评选集美区科技、教育、人才工作先进集体、先进个人。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225"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6</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cs="仿宋_GB2312"/>
                <w:i w:val="0"/>
                <w:color w:val="000000"/>
                <w:kern w:val="0"/>
                <w:sz w:val="18"/>
                <w:szCs w:val="18"/>
                <w:u w:val="none"/>
                <w:lang w:val="en-US" w:eastAsia="zh-CN" w:bidi="ar"/>
              </w:rPr>
              <w:t>海沧区</w:t>
            </w:r>
            <w:r>
              <w:rPr>
                <w:rFonts w:hint="eastAsia" w:ascii="仿宋_GB2312" w:hAnsi="仿宋_GB2312" w:eastAsia="仿宋_GB2312" w:cs="仿宋_GB2312"/>
                <w:i w:val="0"/>
                <w:color w:val="000000"/>
                <w:kern w:val="0"/>
                <w:sz w:val="18"/>
                <w:szCs w:val="18"/>
                <w:u w:val="none"/>
                <w:lang w:val="en-US" w:eastAsia="zh-CN" w:bidi="ar"/>
              </w:rPr>
              <w:t>政法平安建设工作先进集体</w:t>
            </w:r>
            <w:r>
              <w:rPr>
                <w:rFonts w:hint="eastAsia" w:ascii="仿宋_GB2312" w:hAnsi="仿宋_GB2312" w:cs="仿宋_GB2312"/>
                <w:i w:val="0"/>
                <w:color w:val="000000"/>
                <w:kern w:val="0"/>
                <w:sz w:val="18"/>
                <w:szCs w:val="18"/>
                <w:u w:val="none"/>
                <w:lang w:val="en-US" w:eastAsia="zh-CN" w:bidi="ar"/>
              </w:rPr>
              <w:t>和</w:t>
            </w:r>
            <w:r>
              <w:rPr>
                <w:rFonts w:hint="eastAsia" w:ascii="仿宋_GB2312" w:hAnsi="仿宋_GB2312" w:eastAsia="仿宋_GB2312" w:cs="仿宋_GB2312"/>
                <w:i w:val="0"/>
                <w:color w:val="000000"/>
                <w:kern w:val="0"/>
                <w:sz w:val="18"/>
                <w:szCs w:val="18"/>
                <w:u w:val="none"/>
                <w:lang w:val="en-US" w:eastAsia="zh-CN" w:bidi="ar"/>
              </w:rPr>
              <w:t>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围绕海沧区政法平安建设，在全区范围内表彰一批政法平安建设工作先进集体、先进个人。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由海沧区牵头在全区范围推荐评选海沧区政法平安建设工作先进集体、先进个人。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225"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7</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i w:val="0"/>
                <w:color w:val="000000"/>
                <w:kern w:val="0"/>
                <w:sz w:val="18"/>
                <w:szCs w:val="18"/>
                <w:u w:val="none"/>
                <w:lang w:val="en-US" w:eastAsia="zh-CN" w:bidi="ar"/>
              </w:rPr>
              <w:t>同安区</w:t>
            </w:r>
            <w:r>
              <w:rPr>
                <w:rFonts w:hint="eastAsia" w:ascii="仿宋_GB2312" w:hAnsi="仿宋_GB2312" w:eastAsia="仿宋_GB2312" w:cs="仿宋_GB2312"/>
                <w:i w:val="0"/>
                <w:color w:val="000000"/>
                <w:kern w:val="0"/>
                <w:sz w:val="18"/>
                <w:szCs w:val="18"/>
                <w:u w:val="none"/>
                <w:lang w:val="en-US" w:eastAsia="zh-CN" w:bidi="ar"/>
              </w:rPr>
              <w:t>精神文明和生态文明工作先进集体、先进个人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为推进精神文明建设和生态文明建设，在同安区范围内表彰一批精神文明和生态文明工作先进集体、先进个人。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由同安区牵头在全区范围推荐评选同安区精神文明和生态文明工作先进集体、先进个人。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1123"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sz w:val="18"/>
                <w:szCs w:val="18"/>
              </w:rPr>
              <w:t>8</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cs="仿宋_GB2312"/>
                <w:i w:val="0"/>
                <w:color w:val="000000"/>
                <w:kern w:val="0"/>
                <w:sz w:val="18"/>
                <w:szCs w:val="18"/>
                <w:u w:val="none"/>
                <w:lang w:val="en-US" w:eastAsia="zh-CN" w:bidi="ar"/>
              </w:rPr>
              <w:t>翔安区</w:t>
            </w:r>
            <w:r>
              <w:rPr>
                <w:rFonts w:hint="eastAsia" w:ascii="仿宋_GB2312" w:hAnsi="仿宋_GB2312" w:eastAsia="仿宋_GB2312" w:cs="仿宋_GB2312"/>
                <w:i w:val="0"/>
                <w:color w:val="000000"/>
                <w:kern w:val="0"/>
                <w:sz w:val="18"/>
                <w:szCs w:val="18"/>
                <w:u w:val="none"/>
                <w:lang w:val="en-US" w:eastAsia="zh-CN" w:bidi="ar"/>
              </w:rPr>
              <w:t>杰出人才和人才工作先进集体、先进个人</w:t>
            </w:r>
          </w:p>
        </w:tc>
        <w:tc>
          <w:tcPr>
            <w:tcW w:w="1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围绕翔安区经济社会发展，在全区范围内表彰一批做出贡献的杰出人才和人才工作先进集体、先进个人。</w:t>
            </w:r>
          </w:p>
        </w:tc>
        <w:tc>
          <w:tcPr>
            <w:tcW w:w="2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由翔安区牵头在全区范围推荐评选翔安区杰出人才和人才工作先进集体、先进个人。</w:t>
            </w:r>
          </w:p>
        </w:tc>
        <w:tc>
          <w:tcPr>
            <w:tcW w:w="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b w:val="0"/>
                <w:bCs w:val="0"/>
                <w:i w:val="0"/>
                <w:color w:val="000000"/>
                <w:kern w:val="0"/>
                <w:sz w:val="18"/>
                <w:szCs w:val="18"/>
                <w:u w:val="none"/>
                <w:lang w:val="en-US" w:eastAsia="zh-CN" w:bidi="ar"/>
              </w:rPr>
              <w:t>精神奖励与物质奖励相结合</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2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2019-03-05T07:55:13Z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