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D54AF1">
      <w:pPr>
        <w:numPr>
          <w:ilvl w:val="0"/>
          <w:numId w:val="0"/>
        </w:numPr>
        <w:ind w:firstLine="640" w:firstLineChars="200"/>
        <w:rPr>
          <w:rFonts w:hint="eastAsia" w:ascii="华文仿宋" w:hAnsi="华文仿宋" w:eastAsia="华文仿宋" w:cs="华文仿宋"/>
          <w:sz w:val="32"/>
          <w:szCs w:val="32"/>
          <w:lang w:val="en-US" w:eastAsia="zh-CN"/>
        </w:rPr>
      </w:pPr>
    </w:p>
    <w:p w14:paraId="69535D88">
      <w:pPr>
        <w:numPr>
          <w:ilvl w:val="0"/>
          <w:numId w:val="0"/>
        </w:numPr>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14:paraId="60305C97">
      <w:pPr>
        <w:pStyle w:val="2"/>
        <w:rPr>
          <w:rFonts w:hint="eastAsia"/>
          <w:lang w:val="en-US" w:eastAsia="zh-CN"/>
        </w:rPr>
      </w:pPr>
    </w:p>
    <w:p w14:paraId="78669C67">
      <w:pPr>
        <w:numPr>
          <w:ilvl w:val="0"/>
          <w:numId w:val="0"/>
        </w:numPr>
        <w:jc w:val="center"/>
        <w:rPr>
          <w:rFonts w:hint="eastAsia" w:ascii="方正小标宋_GBK" w:hAnsi="方正小标宋_GBK" w:eastAsia="方正小标宋_GBK" w:cs="方正小标宋_GBK"/>
          <w:sz w:val="36"/>
          <w:szCs w:val="36"/>
          <w:lang w:val="en-US" w:eastAsia="zh-CN"/>
        </w:rPr>
      </w:pPr>
      <w:bookmarkStart w:id="0" w:name="_GoBack"/>
      <w:r>
        <w:rPr>
          <w:rFonts w:hint="eastAsia" w:ascii="方正小标宋_GBK" w:hAnsi="方正小标宋_GBK" w:eastAsia="方正小标宋_GBK" w:cs="方正小标宋_GBK"/>
          <w:sz w:val="36"/>
          <w:szCs w:val="36"/>
          <w:lang w:val="en-US" w:eastAsia="zh-CN"/>
        </w:rPr>
        <w:t>《福建省人力资源和社会保障厅关于进一步做好人力资源服务许可等工作有关事项的通知（征求意见稿）》</w:t>
      </w:r>
    </w:p>
    <w:p w14:paraId="0CED234A">
      <w:pPr>
        <w:numPr>
          <w:ilvl w:val="0"/>
          <w:numId w:val="0"/>
        </w:numPr>
        <w:jc w:val="center"/>
        <w:rPr>
          <w:rFonts w:hint="eastAsia" w:ascii="方正小标宋_GBK" w:hAnsi="方正小标宋_GBK" w:eastAsia="方正小标宋_GBK" w:cs="方正小标宋_GBK"/>
          <w:sz w:val="36"/>
          <w:szCs w:val="36"/>
          <w:lang w:val="en-US" w:eastAsia="zh-CN"/>
        </w:rPr>
      </w:pPr>
      <w:r>
        <w:rPr>
          <w:rFonts w:hint="eastAsia" w:ascii="方正小标宋_GBK" w:hAnsi="方正小标宋_GBK" w:eastAsia="方正小标宋_GBK" w:cs="方正小标宋_GBK"/>
          <w:sz w:val="36"/>
          <w:szCs w:val="36"/>
          <w:lang w:val="en-US" w:eastAsia="zh-CN"/>
        </w:rPr>
        <w:t>起草说明</w:t>
      </w:r>
    </w:p>
    <w:bookmarkEnd w:id="0"/>
    <w:p w14:paraId="4155B546">
      <w:pPr>
        <w:numPr>
          <w:ilvl w:val="0"/>
          <w:numId w:val="0"/>
        </w:numPr>
        <w:jc w:val="center"/>
        <w:rPr>
          <w:rFonts w:hint="eastAsia" w:ascii="方正小标宋_GBK" w:hAnsi="方正小标宋_GBK" w:eastAsia="方正小标宋_GBK" w:cs="方正小标宋_GBK"/>
          <w:sz w:val="36"/>
          <w:szCs w:val="36"/>
          <w:lang w:val="en-US" w:eastAsia="zh-CN"/>
        </w:rPr>
      </w:pPr>
    </w:p>
    <w:p w14:paraId="2905036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宋体" w:eastAsia="仿宋_GB2312" w:cs="Times New Roman"/>
          <w:sz w:val="32"/>
          <w:szCs w:val="24"/>
          <w:lang w:val="en" w:eastAsia="zh-CN"/>
        </w:rPr>
      </w:pPr>
      <w:r>
        <w:rPr>
          <w:rFonts w:hint="default" w:ascii="仿宋_GB2312" w:hAnsi="Times New Roman" w:eastAsia="仿宋_GB2312" w:cs="Times New Roman"/>
          <w:sz w:val="32"/>
          <w:szCs w:val="32"/>
          <w:lang w:val="en" w:eastAsia="zh-CN" w:bidi="ar"/>
        </w:rPr>
        <w:t>为进一步做好我省人力资源服务许可等工作，建立健全统一规范的人力资源市场，推进人力资源服务业高质量发展，根据《人力资源市场暂行条例》、《人力资源服务机构管理规定》（人社部令第50号，以下简称《规定》）《福建省人力资源市场条例》（以下简称《条例》）等规定，我们起草了《关于进一步做好人力资源服务许可等工作有关事项的通知》（以下简称《通知》），现将有关情况说明如下：</w:t>
      </w:r>
    </w:p>
    <w:p w14:paraId="35288FAC">
      <w:pPr>
        <w:keepNext w:val="0"/>
        <w:keepLines w:val="0"/>
        <w:pageBreakBefore w:val="0"/>
        <w:widowControl w:val="0"/>
        <w:numPr>
          <w:ilvl w:val="0"/>
          <w:numId w:val="1"/>
        </w:numPr>
        <w:kinsoku/>
        <w:wordWrap/>
        <w:overflowPunct/>
        <w:topLinePunct w:val="0"/>
        <w:autoSpaceDE/>
        <w:autoSpaceDN/>
        <w:bidi w:val="0"/>
        <w:adjustRightInd/>
        <w:snapToGrid/>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制定《通知》的必要性</w:t>
      </w:r>
    </w:p>
    <w:p w14:paraId="36C863FE">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default" w:ascii="仿宋_GB2312" w:hAnsi="宋体" w:eastAsia="仿宋_GB2312" w:cs="Times New Roman"/>
          <w:sz w:val="32"/>
          <w:szCs w:val="24"/>
          <w:lang w:val="en" w:eastAsia="zh-CN"/>
        </w:rPr>
      </w:pPr>
      <w:r>
        <w:rPr>
          <w:rFonts w:hint="default" w:ascii="仿宋_GB2312" w:hAnsi="宋体" w:eastAsia="仿宋_GB2312" w:cs="Times New Roman"/>
          <w:sz w:val="32"/>
          <w:szCs w:val="24"/>
          <w:lang w:val="en" w:eastAsia="zh-CN"/>
        </w:rPr>
        <w:t>《条例》由</w:t>
      </w:r>
      <w:r>
        <w:rPr>
          <w:rFonts w:hint="default" w:ascii="仿宋_GB2312" w:hAnsi="宋体" w:eastAsia="仿宋_GB2312" w:cs="Times New Roman"/>
          <w:sz w:val="32"/>
          <w:szCs w:val="24"/>
          <w:lang w:val="en"/>
        </w:rPr>
        <w:t>福建省第十</w:t>
      </w:r>
      <w:r>
        <w:rPr>
          <w:rFonts w:hint="default" w:ascii="仿宋_GB2312" w:hAnsi="宋体" w:eastAsia="仿宋_GB2312" w:cs="Times New Roman"/>
          <w:sz w:val="32"/>
          <w:szCs w:val="24"/>
          <w:lang w:val="en" w:eastAsia="zh-CN"/>
        </w:rPr>
        <w:t>四</w:t>
      </w:r>
      <w:r>
        <w:rPr>
          <w:rFonts w:hint="default" w:ascii="仿宋_GB2312" w:hAnsi="宋体" w:eastAsia="仿宋_GB2312" w:cs="Times New Roman"/>
          <w:sz w:val="32"/>
          <w:szCs w:val="24"/>
          <w:lang w:val="en"/>
        </w:rPr>
        <w:t>届人民代表大会常务委员会第</w:t>
      </w:r>
      <w:r>
        <w:rPr>
          <w:rFonts w:hint="default" w:ascii="仿宋_GB2312" w:hAnsi="宋体" w:eastAsia="仿宋_GB2312" w:cs="Times New Roman"/>
          <w:sz w:val="32"/>
          <w:szCs w:val="24"/>
          <w:lang w:val="en" w:eastAsia="zh-CN"/>
        </w:rPr>
        <w:t>十三</w:t>
      </w:r>
      <w:r>
        <w:rPr>
          <w:rFonts w:hint="default" w:ascii="仿宋_GB2312" w:hAnsi="宋体" w:eastAsia="仿宋_GB2312" w:cs="Times New Roman"/>
          <w:sz w:val="32"/>
          <w:szCs w:val="24"/>
          <w:lang w:val="en"/>
        </w:rPr>
        <w:t>次会议于20</w:t>
      </w:r>
      <w:r>
        <w:rPr>
          <w:rFonts w:hint="default" w:ascii="仿宋_GB2312" w:hAnsi="宋体" w:eastAsia="仿宋_GB2312" w:cs="Times New Roman"/>
          <w:sz w:val="32"/>
          <w:szCs w:val="24"/>
          <w:lang w:val="en" w:eastAsia="zh-CN"/>
        </w:rPr>
        <w:t>24</w:t>
      </w:r>
      <w:r>
        <w:rPr>
          <w:rFonts w:hint="default" w:ascii="仿宋_GB2312" w:hAnsi="宋体" w:eastAsia="仿宋_GB2312" w:cs="Times New Roman"/>
          <w:sz w:val="32"/>
          <w:szCs w:val="24"/>
          <w:lang w:val="en"/>
        </w:rPr>
        <w:t>年</w:t>
      </w:r>
      <w:r>
        <w:rPr>
          <w:rFonts w:hint="default" w:ascii="仿宋_GB2312" w:hAnsi="宋体" w:eastAsia="仿宋_GB2312" w:cs="Times New Roman"/>
          <w:sz w:val="32"/>
          <w:szCs w:val="24"/>
          <w:lang w:val="en" w:eastAsia="zh-CN"/>
        </w:rPr>
        <w:t>11</w:t>
      </w:r>
      <w:r>
        <w:rPr>
          <w:rFonts w:hint="default" w:ascii="仿宋_GB2312" w:hAnsi="宋体" w:eastAsia="仿宋_GB2312" w:cs="Times New Roman"/>
          <w:sz w:val="32"/>
          <w:szCs w:val="24"/>
          <w:lang w:val="en"/>
        </w:rPr>
        <w:t>月</w:t>
      </w:r>
      <w:r>
        <w:rPr>
          <w:rFonts w:hint="default" w:ascii="仿宋_GB2312" w:hAnsi="宋体" w:eastAsia="仿宋_GB2312" w:cs="Times New Roman"/>
          <w:sz w:val="32"/>
          <w:szCs w:val="24"/>
          <w:lang w:val="en" w:eastAsia="zh-CN"/>
        </w:rPr>
        <w:t>28</w:t>
      </w:r>
      <w:r>
        <w:rPr>
          <w:rFonts w:hint="default" w:ascii="仿宋_GB2312" w:hAnsi="宋体" w:eastAsia="仿宋_GB2312" w:cs="Times New Roman"/>
          <w:sz w:val="32"/>
          <w:szCs w:val="24"/>
          <w:lang w:val="en"/>
        </w:rPr>
        <w:t>日通过</w:t>
      </w:r>
      <w:r>
        <w:rPr>
          <w:rFonts w:hint="default" w:ascii="仿宋_GB2312" w:hAnsi="宋体" w:eastAsia="仿宋_GB2312" w:cs="Times New Roman"/>
          <w:sz w:val="32"/>
          <w:szCs w:val="24"/>
          <w:lang w:val="en" w:eastAsia="zh-CN"/>
        </w:rPr>
        <w:t>，自2025年3月1日起施</w:t>
      </w:r>
      <w:r>
        <w:rPr>
          <w:rFonts w:hint="default" w:ascii="仿宋_GB2312" w:hAnsi="宋体" w:eastAsia="仿宋_GB2312" w:cs="Times New Roman"/>
          <w:sz w:val="32"/>
          <w:szCs w:val="24"/>
          <w:lang w:val="en"/>
        </w:rPr>
        <w:t>行</w:t>
      </w:r>
      <w:r>
        <w:rPr>
          <w:rFonts w:hint="default" w:ascii="仿宋_GB2312" w:hAnsi="宋体" w:eastAsia="仿宋_GB2312" w:cs="Times New Roman"/>
          <w:sz w:val="32"/>
          <w:szCs w:val="24"/>
          <w:lang w:val="en" w:eastAsia="zh-CN"/>
        </w:rPr>
        <w:t>，共6章59条。其中，第3章规定了</w:t>
      </w:r>
      <w:r>
        <w:rPr>
          <w:rFonts w:hint="eastAsia" w:ascii="仿宋_GB2312" w:hAnsi="宋体" w:cs="Times New Roman"/>
          <w:sz w:val="32"/>
          <w:szCs w:val="24"/>
          <w:lang w:val="en" w:eastAsia="zh-CN"/>
        </w:rPr>
        <w:t>“</w:t>
      </w:r>
      <w:r>
        <w:rPr>
          <w:rFonts w:hint="default" w:ascii="仿宋_GB2312" w:hAnsi="宋体" w:eastAsia="仿宋_GB2312" w:cs="Times New Roman"/>
          <w:sz w:val="32"/>
          <w:szCs w:val="24"/>
          <w:lang w:val="en" w:eastAsia="zh-CN"/>
        </w:rPr>
        <w:t>活动与规范</w:t>
      </w:r>
      <w:r>
        <w:rPr>
          <w:rFonts w:hint="eastAsia" w:ascii="仿宋_GB2312" w:hAnsi="宋体" w:cs="Times New Roman"/>
          <w:sz w:val="32"/>
          <w:szCs w:val="24"/>
          <w:lang w:val="en" w:eastAsia="zh-CN"/>
        </w:rPr>
        <w:t>”</w:t>
      </w:r>
      <w:r>
        <w:rPr>
          <w:rFonts w:hint="default" w:ascii="仿宋_GB2312" w:hAnsi="宋体" w:eastAsia="仿宋_GB2312" w:cs="Times New Roman"/>
          <w:sz w:val="32"/>
          <w:szCs w:val="24"/>
          <w:lang w:val="en" w:eastAsia="zh-CN"/>
        </w:rPr>
        <w:t>的内容，但因篇幅限制，《条例》的规定，特别是关于人力资源服务许可等方面的内容，相对比较原则。为更好地贯彻实施《条例》，有必要对照《条例》有关规定，立足我省实际，对</w:t>
      </w:r>
      <w:r>
        <w:rPr>
          <w:rFonts w:hint="eastAsia" w:ascii="仿宋_GB2312" w:hAnsi="宋体" w:cs="Times New Roman"/>
          <w:sz w:val="32"/>
          <w:szCs w:val="24"/>
          <w:lang w:val="en" w:eastAsia="zh-CN"/>
        </w:rPr>
        <w:t>上位法</w:t>
      </w:r>
      <w:r>
        <w:rPr>
          <w:rFonts w:hint="default" w:ascii="仿宋_GB2312" w:hAnsi="宋体" w:eastAsia="仿宋_GB2312" w:cs="Times New Roman"/>
          <w:sz w:val="32"/>
          <w:szCs w:val="24"/>
          <w:lang w:val="en" w:eastAsia="zh-CN"/>
        </w:rPr>
        <w:t>已有规定的内容做进一步细化和具体化，包括经营性人力资源服务机构从事职业中介活动的具体条件、管辖权划分等，以进一步深化“放管服”改革要求，加强人力资源市场服务管理，营造良好市场发展环境。</w:t>
      </w:r>
    </w:p>
    <w:p w14:paraId="4E56B12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二、《通知》的主要内容</w:t>
      </w:r>
    </w:p>
    <w:p w14:paraId="5DF1EA45">
      <w:pPr>
        <w:keepNext w:val="0"/>
        <w:keepLines w:val="0"/>
        <w:pageBreakBefore w:val="0"/>
        <w:widowControl/>
        <w:numPr>
          <w:ilvl w:val="0"/>
          <w:numId w:val="0"/>
        </w:numPr>
        <w:kinsoku/>
        <w:wordWrap/>
        <w:overflowPunct/>
        <w:topLinePunct w:val="0"/>
        <w:autoSpaceDE/>
        <w:autoSpaceDN/>
        <w:bidi w:val="0"/>
        <w:adjustRightInd/>
        <w:snapToGrid/>
        <w:ind w:firstLine="640" w:firstLineChars="200"/>
        <w:jc w:val="left"/>
        <w:textAlignment w:val="auto"/>
        <w:rPr>
          <w:rFonts w:hint="default" w:ascii="仿宋_GB2312" w:hAnsi="Times New Roman" w:eastAsia="仿宋_GB2312" w:cs="Times New Roman"/>
          <w:sz w:val="32"/>
          <w:szCs w:val="32"/>
          <w:lang w:val="en" w:eastAsia="zh-CN" w:bidi="ar"/>
        </w:rPr>
      </w:pPr>
      <w:r>
        <w:rPr>
          <w:rFonts w:hint="default" w:ascii="仿宋_GB2312" w:hAnsi="Times New Roman" w:eastAsia="仿宋_GB2312" w:cs="Times New Roman"/>
          <w:sz w:val="32"/>
          <w:szCs w:val="32"/>
          <w:lang w:val="en" w:eastAsia="zh-CN" w:bidi="ar"/>
        </w:rPr>
        <w:t>《通知》一共</w:t>
      </w:r>
      <w:r>
        <w:rPr>
          <w:rFonts w:hint="eastAsia" w:ascii="仿宋_GB2312" w:hAnsi="Times New Roman" w:cs="Times New Roman"/>
          <w:sz w:val="32"/>
          <w:szCs w:val="32"/>
          <w:lang w:val="en-US" w:eastAsia="zh-CN" w:bidi="ar"/>
        </w:rPr>
        <w:t>九</w:t>
      </w:r>
      <w:r>
        <w:rPr>
          <w:rFonts w:hint="default" w:ascii="仿宋_GB2312" w:hAnsi="Times New Roman" w:eastAsia="仿宋_GB2312" w:cs="Times New Roman"/>
          <w:sz w:val="32"/>
          <w:szCs w:val="32"/>
          <w:lang w:val="en" w:eastAsia="zh-CN" w:bidi="ar"/>
        </w:rPr>
        <w:t>条，主要涉及经营性人力资源服务机构从事职业中介活动应当具备的条件；申请办理行政许可等事项的管辖权划分；</w:t>
      </w:r>
      <w:r>
        <w:rPr>
          <w:rFonts w:hint="eastAsia" w:ascii="仿宋_GB2312" w:hAnsi="Times New Roman" w:cs="Times New Roman"/>
          <w:sz w:val="32"/>
          <w:szCs w:val="32"/>
          <w:lang w:val="en-US" w:eastAsia="zh-CN" w:bidi="ar"/>
        </w:rPr>
        <w:t>告知承诺事项的具体核查；</w:t>
      </w:r>
      <w:r>
        <w:rPr>
          <w:rFonts w:hint="default" w:ascii="仿宋_GB2312" w:hAnsi="Times New Roman" w:eastAsia="仿宋_GB2312" w:cs="Times New Roman"/>
          <w:sz w:val="32"/>
          <w:szCs w:val="32"/>
          <w:lang w:val="en" w:eastAsia="zh-CN" w:bidi="ar"/>
        </w:rPr>
        <w:t>跨管辖区域申请变更住所的工作流程；提交经营情况年度报告的相关规定以及违法案件管辖规则等内容。</w:t>
      </w:r>
    </w:p>
    <w:p w14:paraId="466CB6F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三、需要重点说明的问题</w:t>
      </w:r>
    </w:p>
    <w:p w14:paraId="42C4FEB4">
      <w:pPr>
        <w:keepNext w:val="0"/>
        <w:keepLines w:val="0"/>
        <w:pageBreakBefore w:val="0"/>
        <w:widowControl/>
        <w:numPr>
          <w:ilvl w:val="0"/>
          <w:numId w:val="0"/>
        </w:numPr>
        <w:kinsoku/>
        <w:wordWrap/>
        <w:overflowPunct/>
        <w:topLinePunct w:val="0"/>
        <w:autoSpaceDE/>
        <w:autoSpaceDN/>
        <w:bidi w:val="0"/>
        <w:adjustRightInd/>
        <w:snapToGrid/>
        <w:ind w:firstLine="640" w:firstLineChars="200"/>
        <w:jc w:val="left"/>
        <w:textAlignment w:val="auto"/>
        <w:rPr>
          <w:rFonts w:hint="default" w:ascii="仿宋_GB2312" w:hAnsi="Times New Roman" w:eastAsia="仿宋_GB2312" w:cs="Times New Roman"/>
          <w:sz w:val="32"/>
          <w:szCs w:val="32"/>
          <w:lang w:val="en" w:eastAsia="zh-CN" w:bidi="ar"/>
        </w:rPr>
      </w:pPr>
      <w:r>
        <w:rPr>
          <w:rFonts w:hint="eastAsia" w:ascii="华文楷体" w:hAnsi="华文楷体" w:eastAsia="华文楷体" w:cs="华文楷体"/>
          <w:sz w:val="32"/>
          <w:szCs w:val="32"/>
          <w:lang w:val="en-US" w:eastAsia="zh-CN"/>
        </w:rPr>
        <w:t>（一）关于经营性人力资源服务机构从事职业中介活动的条件。</w:t>
      </w:r>
      <w:r>
        <w:rPr>
          <w:rFonts w:hint="default" w:ascii="仿宋_GB2312" w:hAnsi="Times New Roman" w:eastAsia="仿宋_GB2312" w:cs="Times New Roman"/>
          <w:sz w:val="32"/>
          <w:szCs w:val="32"/>
          <w:lang w:val="en" w:eastAsia="zh-CN" w:bidi="ar"/>
        </w:rPr>
        <w:t>《条例》以及《规定》均规定了经营性人力资源服务机构申请从事职业中介活动应当具备的条件，其中包括“有一定数额的开办资金”，但没有明确具体的开办资金数额。此前颁布实施的《福建省人才市场管理条例》第九条规定，“设立人才中介机构应当具备下列条件：（一）注册资本（金）或者开办资金不少于人民十万元”；《福建省劳动力市场管理条例》第十四条规定“申办职业介绍机构，必须具备以下条件：（三）不少于伍万元的开办资金”。根据上述两个条例的规定，目前，我省人力资源服务机构从事职业介绍的许可设置了“</w:t>
      </w:r>
      <w:r>
        <w:rPr>
          <w:rFonts w:hint="default" w:ascii="仿宋_GB2312" w:hAnsi="Times New Roman" w:eastAsia="仿宋_GB2312" w:cs="Times New Roman"/>
          <w:sz w:val="32"/>
          <w:szCs w:val="32"/>
          <w:lang w:val="en" w:bidi="ar"/>
        </w:rPr>
        <w:t>开办</w:t>
      </w:r>
      <w:r>
        <w:rPr>
          <w:rFonts w:hint="default" w:ascii="仿宋_GB2312" w:hAnsi="Times New Roman" w:eastAsia="仿宋_GB2312" w:cs="Times New Roman"/>
          <w:sz w:val="32"/>
          <w:szCs w:val="32"/>
          <w:lang w:val="en" w:eastAsia="zh-CN" w:bidi="ar"/>
        </w:rPr>
        <w:t>资</w:t>
      </w:r>
      <w:r>
        <w:rPr>
          <w:rFonts w:hint="default" w:ascii="仿宋_GB2312" w:hAnsi="Times New Roman" w:eastAsia="仿宋_GB2312" w:cs="Times New Roman"/>
          <w:sz w:val="32"/>
          <w:szCs w:val="32"/>
          <w:lang w:val="en" w:bidi="ar"/>
        </w:rPr>
        <w:t>金不少于10万元</w:t>
      </w:r>
      <w:r>
        <w:rPr>
          <w:rFonts w:hint="default" w:ascii="仿宋_GB2312" w:hAnsi="Times New Roman" w:eastAsia="仿宋_GB2312" w:cs="Times New Roman"/>
          <w:sz w:val="32"/>
          <w:szCs w:val="32"/>
          <w:lang w:val="en" w:eastAsia="zh-CN" w:bidi="ar"/>
        </w:rPr>
        <w:t>”的条件。</w:t>
      </w:r>
    </w:p>
    <w:p w14:paraId="15D37C2D">
      <w:pPr>
        <w:keepNext w:val="0"/>
        <w:keepLines w:val="0"/>
        <w:pageBreakBefore w:val="0"/>
        <w:widowControl/>
        <w:numPr>
          <w:ilvl w:val="0"/>
          <w:numId w:val="0"/>
        </w:numPr>
        <w:kinsoku/>
        <w:wordWrap/>
        <w:overflowPunct/>
        <w:topLinePunct w:val="0"/>
        <w:autoSpaceDE/>
        <w:autoSpaceDN/>
        <w:bidi w:val="0"/>
        <w:adjustRightInd/>
        <w:snapToGrid/>
        <w:ind w:firstLine="640" w:firstLineChars="200"/>
        <w:jc w:val="left"/>
        <w:textAlignment w:val="auto"/>
        <w:rPr>
          <w:rFonts w:hint="default" w:ascii="仿宋_GB2312" w:hAnsi="Times New Roman" w:eastAsia="仿宋_GB2312" w:cs="Times New Roman"/>
          <w:sz w:val="32"/>
          <w:szCs w:val="32"/>
          <w:lang w:val="en" w:eastAsia="zh-CN" w:bidi="ar"/>
        </w:rPr>
      </w:pPr>
      <w:r>
        <w:rPr>
          <w:rFonts w:hint="default" w:ascii="仿宋_GB2312" w:hAnsi="Times New Roman" w:eastAsia="仿宋_GB2312" w:cs="Times New Roman"/>
          <w:sz w:val="32"/>
          <w:szCs w:val="32"/>
          <w:lang w:val="en" w:eastAsia="zh-CN" w:bidi="ar"/>
        </w:rPr>
        <w:t>此次《条例》的立法系“废旧立新”，2025年3月1日《条例》正式实施后，上述两个旧条例即同步废止，各地人社部门为人力资源服务机构办理从事职业中介活动的行政许可缺少了“开办资金不少于10万元”的申报条件设立依据，若不予以明确，易导致各地人力资源服务许可工作出现脱节，造成一定影响。根据《条例》第二十六条第二款及《就业服务与就业管理规定》第五十条第三款的授权，《通知》参考《福建省人才市场管理条例》的规定，明确了经营性人力资源服务机构从事职业中介活动应当具备开办资金不少于人民币10万元的条件，以保障人力资源服务行政许可工作的前后延续性。</w:t>
      </w:r>
    </w:p>
    <w:p w14:paraId="34C4EE7F">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Times New Roman" w:eastAsia="仿宋_GB2312" w:cs="Times New Roman"/>
          <w:sz w:val="32"/>
          <w:szCs w:val="32"/>
          <w:lang w:val="en-US" w:eastAsia="zh-CN" w:bidi="ar"/>
        </w:rPr>
      </w:pPr>
      <w:r>
        <w:rPr>
          <w:rFonts w:hint="eastAsia" w:ascii="华文楷体" w:hAnsi="华文楷体" w:eastAsia="华文楷体" w:cs="华文楷体"/>
          <w:sz w:val="32"/>
          <w:szCs w:val="32"/>
          <w:lang w:val="en-US" w:eastAsia="zh-CN"/>
        </w:rPr>
        <w:t>（二）关于许可管辖权划分。</w:t>
      </w:r>
      <w:r>
        <w:rPr>
          <w:rFonts w:hint="default" w:ascii="仿宋_GB2312" w:hAnsi="Times New Roman" w:eastAsia="仿宋_GB2312" w:cs="Times New Roman"/>
          <w:sz w:val="32"/>
          <w:szCs w:val="32"/>
          <w:lang w:val="en" w:eastAsia="zh-CN" w:bidi="ar"/>
        </w:rPr>
        <w:t>《规定》第五条明确，经营性人力资源服务机构从事职业中介活动的，应在市场主体登记办理完毕后，依法向住所地人力资源社会保障行政部门申请行政许可，取得人力资源服务许可证。在上述条款基础上，《通知》对经营性人力资源服务机构从事职业中介活动申请行政许可的管辖权进行了细分，即：在省级登记部门办理登记的，向该机构住所地设区市一级人力资源社会保障行政部门申请行政许可；在设区市一级登记部门办理登记的，向设区市一级人力资源社会保障行政部门申请行政许可；在县区一级登记部门办理登记的，向县区一级人力资源社会保障行政部门申请行政许可。</w:t>
      </w:r>
    </w:p>
    <w:p w14:paraId="608B5A40">
      <w:pPr>
        <w:pStyle w:val="2"/>
        <w:numPr>
          <w:ilvl w:val="0"/>
          <w:numId w:val="0"/>
        </w:numPr>
        <w:ind w:firstLine="640" w:firstLineChars="200"/>
        <w:rPr>
          <w:rFonts w:hint="default" w:ascii="仿宋_GB2312" w:hAnsi="Times New Roman" w:eastAsia="仿宋_GB2312" w:cs="Times New Roman"/>
          <w:color w:val="auto"/>
          <w:kern w:val="2"/>
          <w:sz w:val="32"/>
          <w:szCs w:val="32"/>
          <w:lang w:val="en" w:eastAsia="zh-CN" w:bidi="ar"/>
        </w:rPr>
      </w:pPr>
      <w:r>
        <w:rPr>
          <w:rFonts w:hint="eastAsia" w:ascii="华文楷体" w:hAnsi="华文楷体" w:eastAsia="华文楷体" w:cs="华文楷体"/>
          <w:sz w:val="32"/>
          <w:szCs w:val="24"/>
          <w:lang w:val="en" w:eastAsia="zh-CN"/>
        </w:rPr>
        <w:t>（三）关于告知承诺事项的核查。</w:t>
      </w:r>
      <w:r>
        <w:rPr>
          <w:rFonts w:hint="eastAsia" w:ascii="仿宋_GB2312" w:hAnsi="Times New Roman" w:eastAsia="仿宋_GB2312" w:cs="Times New Roman"/>
          <w:color w:val="auto"/>
          <w:kern w:val="2"/>
          <w:sz w:val="32"/>
          <w:szCs w:val="32"/>
          <w:lang w:val="en-US" w:eastAsia="zh-CN" w:bidi="ar"/>
        </w:rPr>
        <w:t>《规定》第七条、第八条明确了人力资源服务机构可按照告知承诺制的方式申请从事职业中介许可。人社部办公厅《关于进一步做好人力资源服务许可告知承诺制工作的通知》要求省级人力资源社会保障部门要结合工作实际，制定人力资源服务许可告知承诺事项的核查办法，明确核查部门、时间、方式以及免予核查的情形等内容，重点对企业承诺情况进行检查；在核查监管中发现违法承诺的要责令限期整改，逾期未改或整改不到位的要依法给予撤销人力资源服务许可等处罚。《通知》结合工作实际，对告知承诺事项的核查做了具体规定。</w:t>
      </w:r>
    </w:p>
    <w:p w14:paraId="5003F61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Times New Roman" w:eastAsia="仿宋_GB2312" w:cs="Times New Roman"/>
          <w:sz w:val="32"/>
          <w:szCs w:val="32"/>
          <w:lang w:val="en" w:eastAsia="zh-CN" w:bidi="ar"/>
        </w:rPr>
      </w:pPr>
      <w:r>
        <w:rPr>
          <w:rFonts w:hint="eastAsia" w:ascii="华文楷体" w:hAnsi="华文楷体" w:eastAsia="华文楷体" w:cs="华文楷体"/>
          <w:sz w:val="32"/>
          <w:szCs w:val="32"/>
          <w:lang w:val="en-US" w:eastAsia="zh-CN"/>
        </w:rPr>
        <w:t>（四）关于经营情况年度报告。</w:t>
      </w:r>
      <w:r>
        <w:rPr>
          <w:rFonts w:hint="default" w:ascii="仿宋_GB2312" w:hAnsi="Times New Roman" w:eastAsia="仿宋_GB2312" w:cs="Times New Roman"/>
          <w:sz w:val="32"/>
          <w:szCs w:val="32"/>
          <w:lang w:val="en" w:eastAsia="zh-CN" w:bidi="ar"/>
        </w:rPr>
        <w:t>《人力资源市场暂行条例》、《规定》均明确经营性人力资源服务机构需在规定期限内提交上一年度经营情况年度报告。《人社部关于进一步规范人力资源市场秩序的意见》明确要求“各地要研究制定具体规程，完善人力资源服务机构按期向主管部门报送年度报告、向社会公示业务开展情况的制度，促进人力资源服务机构切实履行依法公开生产经营活动有关信息数据的法定义务，增强社会监督和协同共治”。人社部《关于做好人力资源服务行政许可及备案有关工作的通知》要求，各地人社部门要“建立完善人力资源服务机构年度报告公示制度，促进人力资源服务机构切实履行依法报告和公开生产经营活动中有关信息数据的法定义务，主动接受社会监督，强化信用约束”。《通知》结合工作实际，细化了经营性人力资源服务机构提交经营情况年度报告的工作流程，并明确要求对抽查或核查中发现的人力资源服务机构经营情况年度报告存在的问题，以及经营情况年度报告公示期间收到的投诉举报线索，人社部门要严肃查实处理。</w:t>
      </w:r>
    </w:p>
    <w:p w14:paraId="6C552E42">
      <w:pPr>
        <w:keepNext w:val="0"/>
        <w:keepLines w:val="0"/>
        <w:pageBreakBefore w:val="0"/>
        <w:widowControl/>
        <w:numPr>
          <w:ilvl w:val="0"/>
          <w:numId w:val="0"/>
        </w:numPr>
        <w:kinsoku/>
        <w:wordWrap/>
        <w:overflowPunct/>
        <w:topLinePunct w:val="0"/>
        <w:autoSpaceDE/>
        <w:autoSpaceDN/>
        <w:bidi w:val="0"/>
        <w:adjustRightInd/>
        <w:snapToGrid/>
        <w:ind w:firstLine="640" w:firstLineChars="200"/>
        <w:jc w:val="left"/>
        <w:textAlignment w:val="auto"/>
        <w:rPr>
          <w:rFonts w:hint="default" w:ascii="仿宋_GB2312" w:hAnsi="Times New Roman" w:eastAsia="仿宋_GB2312" w:cs="Times New Roman"/>
          <w:sz w:val="32"/>
          <w:szCs w:val="32"/>
          <w:lang w:val="en" w:eastAsia="zh-CN" w:bidi="ar"/>
        </w:rPr>
      </w:pPr>
      <w:r>
        <w:rPr>
          <w:rFonts w:hint="eastAsia" w:ascii="华文楷体" w:hAnsi="华文楷体" w:eastAsia="华文楷体" w:cs="华文楷体"/>
          <w:sz w:val="32"/>
          <w:szCs w:val="32"/>
          <w:lang w:val="en-US" w:eastAsia="zh-CN"/>
        </w:rPr>
        <w:t>（五）关于违法案件管辖。</w:t>
      </w:r>
      <w:r>
        <w:rPr>
          <w:rFonts w:hint="default" w:ascii="仿宋_GB2312" w:hAnsi="Times New Roman" w:eastAsia="仿宋_GB2312" w:cs="Times New Roman"/>
          <w:sz w:val="32"/>
          <w:szCs w:val="32"/>
          <w:lang w:val="en" w:eastAsia="zh-CN" w:bidi="ar"/>
        </w:rPr>
        <w:t>《规定》第三十二条第二款、第三款对违法案件的管辖做了规定。《人社部办公厅关于做好&lt;人力资源服务机构管理规定&gt;贯彻实施工作的通知》明确，要按照《规定》要求，“结合工作实际，确定在作出行政许可或办理备案的人力资源社会保障部门管辖区域外从事违法活动、出现争议时管辖权的具体划分，并明晰直接管辖和指定管辖情形，防止‘以批代管’‘不批不管’等问题”。按照文件要求，《通知》明确了涉及外商投资、港澳台资人力资源服务机构的案件，或引起社会普遍关注，具有较大社会影响等重大复杂案件，上级人力资源社会保障行政部门可以直接指定管辖等违法案件管辖规则。</w:t>
      </w:r>
    </w:p>
    <w:p w14:paraId="0BB824A1">
      <w:pPr>
        <w:widowControl/>
        <w:numPr>
          <w:ilvl w:val="0"/>
          <w:numId w:val="0"/>
        </w:numPr>
        <w:ind w:firstLine="640" w:firstLineChars="200"/>
        <w:jc w:val="left"/>
        <w:rPr>
          <w:rFonts w:hint="eastAsia" w:ascii="仿宋_GB2312" w:hAnsi="Times New Roman" w:eastAsia="仿宋_GB2312" w:cs="Times New Roman"/>
          <w:sz w:val="32"/>
          <w:szCs w:val="32"/>
          <w:lang w:val="en-US" w:eastAsia="zh-CN" w:bidi="ar"/>
        </w:rPr>
      </w:pPr>
    </w:p>
    <w:p w14:paraId="5862BA91">
      <w:pPr>
        <w:widowControl/>
        <w:numPr>
          <w:ilvl w:val="0"/>
          <w:numId w:val="0"/>
        </w:numPr>
        <w:ind w:firstLine="640" w:firstLineChars="200"/>
        <w:jc w:val="left"/>
        <w:rPr>
          <w:rFonts w:hint="eastAsia" w:ascii="仿宋_GB2312" w:hAnsi="Times New Roman" w:eastAsia="仿宋_GB2312" w:cs="Times New Roman"/>
          <w:sz w:val="32"/>
          <w:szCs w:val="32"/>
          <w:lang w:bidi="ar"/>
        </w:rPr>
      </w:pPr>
    </w:p>
    <w:p w14:paraId="3FFDC9D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仿宋_GBK">
    <w:altName w:val="微软雅黑"/>
    <w:panose1 w:val="02000000000000000000"/>
    <w:charset w:val="86"/>
    <w:family w:val="auto"/>
    <w:pitch w:val="default"/>
    <w:sig w:usb0="00000000" w:usb1="00000000" w:usb2="00000000" w:usb3="00000000" w:csb0="00040000" w:csb1="00000000"/>
  </w:font>
  <w:font w:name="方正小标宋_GBK">
    <w:altName w:val="微软雅黑"/>
    <w:panose1 w:val="02000000000000000000"/>
    <w:charset w:val="86"/>
    <w:family w:val="auto"/>
    <w:pitch w:val="default"/>
    <w:sig w:usb0="00000000" w:usb1="0000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方正黑体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7CCADC"/>
    <w:multiLevelType w:val="singleLevel"/>
    <w:tmpl w:val="A67CCAD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F76E11"/>
    <w:rsid w:val="3DF76E11"/>
    <w:rsid w:val="572341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Default"/>
    <w:unhideWhenUsed/>
    <w:qFormat/>
    <w:uiPriority w:val="99"/>
    <w:pPr>
      <w:widowControl w:val="0"/>
      <w:autoSpaceDE w:val="0"/>
      <w:autoSpaceDN w:val="0"/>
      <w:adjustRightInd w:val="0"/>
    </w:pPr>
    <w:rPr>
      <w:rFonts w:hint="eastAsia" w:ascii="方正仿宋_GBK" w:hAnsi="方正仿宋_GBK" w:eastAsia="方正仿宋_GBK"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4394</Words>
  <Characters>4425</Characters>
  <Lines>0</Lines>
  <Paragraphs>0</Paragraphs>
  <TotalTime>1</TotalTime>
  <ScaleCrop>false</ScaleCrop>
  <LinksUpToDate>false</LinksUpToDate>
  <CharactersWithSpaces>4425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2025-01-09T18:13:00Z</dcterms:created>
  <dc:creator>邵洁</dc:creator>
  <cp:lastModifiedBy>彩虹</cp:lastModifiedBy>
  <dcterms:modified xsi:type="dcterms:W3CDTF">2025-01-10T08:32:52Z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eyJoZGlkIjoiM2RkOTc3OWNmN2I4YTNmZDAxZTRmZGUzOWNlOTEyMDciLCJ1c2VySWQiOiIxMDQ0MjkxMTYxIn0=</vt:lpwstr>
  </property>
  <property fmtid="{D5CDD505-2E9C-101B-9397-08002B2CF9AE}" pid="4" name="ICV">
    <vt:lpwstr>C99B514D2B44459A90E34D0AEF233DAF_13</vt:lpwstr>
  </property>
</Properties>
</file>