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D394B3">
      <w:pPr>
        <w:jc w:val="both"/>
        <w:rPr>
          <w:rFonts w:hint="eastAsia" w:ascii="黑体" w:hAnsi="黑体" w:eastAsia="黑体" w:cs="黑体"/>
          <w:sz w:val="32"/>
          <w:szCs w:val="32"/>
          <w:lang w:val="en-US" w:eastAsia="zh-CN"/>
        </w:rPr>
      </w:pPr>
      <w:bookmarkStart w:id="0" w:name="_GoBack"/>
      <w:r>
        <w:rPr>
          <w:rFonts w:hint="eastAsia" w:ascii="黑体" w:hAnsi="黑体" w:eastAsia="黑体" w:cs="黑体"/>
          <w:sz w:val="32"/>
          <w:szCs w:val="32"/>
          <w:lang w:val="en-US" w:eastAsia="zh-CN"/>
        </w:rPr>
        <w:t>附件1</w:t>
      </w:r>
    </w:p>
    <w:p w14:paraId="3EA65B8C">
      <w:pPr>
        <w:pStyle w:val="2"/>
        <w:rPr>
          <w:rFonts w:hint="eastAsia" w:ascii="方正仿宋_GBK" w:hAnsi="方正仿宋_GBK" w:eastAsia="方正仿宋_GBK" w:cs="Times New Roman"/>
          <w:sz w:val="24"/>
          <w:szCs w:val="22"/>
          <w:lang w:val="en-US" w:eastAsia="zh-CN"/>
        </w:rPr>
      </w:pPr>
    </w:p>
    <w:p w14:paraId="7B8DFA5F">
      <w:pPr>
        <w:jc w:val="center"/>
        <w:rPr>
          <w:rFonts w:hint="eastAsia" w:ascii="方正小标宋_GBK" w:hAnsi="方正小标宋_GBK" w:eastAsia="方正小标宋_GBK" w:cs="方正小标宋_GBK"/>
          <w:sz w:val="36"/>
          <w:szCs w:val="36"/>
          <w:lang w:val="en-US" w:eastAsia="zh-CN"/>
        </w:rPr>
      </w:pPr>
      <w:r>
        <w:rPr>
          <w:rFonts w:hint="eastAsia" w:ascii="方正小标宋_GBK" w:hAnsi="方正小标宋_GBK" w:eastAsia="方正小标宋_GBK" w:cs="方正小标宋_GBK"/>
          <w:sz w:val="36"/>
          <w:szCs w:val="36"/>
          <w:lang w:val="en-US" w:eastAsia="zh-CN"/>
        </w:rPr>
        <w:t>福建省人力资源和社会保障厅关于进一步做好人力资源服务许可等工作有关事项的通知</w:t>
      </w:r>
    </w:p>
    <w:p w14:paraId="4EA72893">
      <w:pPr>
        <w:jc w:val="center"/>
        <w:rPr>
          <w:rFonts w:hint="eastAsia" w:ascii="华文楷体" w:hAnsi="华文楷体" w:eastAsia="华文楷体" w:cs="华文楷体"/>
          <w:sz w:val="36"/>
          <w:szCs w:val="36"/>
          <w:lang w:val="en-US" w:eastAsia="zh-CN"/>
        </w:rPr>
      </w:pPr>
      <w:r>
        <w:rPr>
          <w:rFonts w:hint="eastAsia" w:ascii="华文楷体" w:hAnsi="华文楷体" w:eastAsia="华文楷体" w:cs="华文楷体"/>
          <w:sz w:val="36"/>
          <w:szCs w:val="36"/>
          <w:lang w:val="en-US" w:eastAsia="zh-CN"/>
        </w:rPr>
        <w:t>（征求意见稿）</w:t>
      </w:r>
    </w:p>
    <w:bookmarkEnd w:id="0"/>
    <w:p w14:paraId="07486608">
      <w:pPr>
        <w:rPr>
          <w:rFonts w:hint="eastAsia" w:ascii="Calibri" w:hAnsi="Calibri" w:eastAsia="宋体" w:cs="Times New Roman"/>
          <w:sz w:val="21"/>
          <w:lang w:val="en-US" w:eastAsia="zh-CN"/>
        </w:rPr>
      </w:pPr>
    </w:p>
    <w:p w14:paraId="371A374D">
      <w:pPr>
        <w:widowControl/>
        <w:numPr>
          <w:ilvl w:val="0"/>
          <w:numId w:val="0"/>
        </w:numPr>
        <w:spacing w:line="570" w:lineRule="exact"/>
        <w:ind w:firstLine="0" w:firstLineChars="0"/>
        <w:jc w:val="left"/>
        <w:rPr>
          <w:rFonts w:hint="default" w:ascii="仿宋_GB2312" w:hAnsi="Times New Roman" w:eastAsia="仿宋_GB2312" w:cs="Times New Roman"/>
          <w:sz w:val="32"/>
          <w:szCs w:val="32"/>
          <w:lang w:val="en-US" w:eastAsia="zh-CN" w:bidi="ar"/>
        </w:rPr>
      </w:pPr>
      <w:r>
        <w:rPr>
          <w:rFonts w:hint="default" w:ascii="仿宋_GB2312" w:hAnsi="Times New Roman" w:eastAsia="仿宋_GB2312" w:cs="Times New Roman"/>
          <w:sz w:val="32"/>
          <w:szCs w:val="32"/>
          <w:lang w:val="en-US" w:eastAsia="zh-CN" w:bidi="ar"/>
        </w:rPr>
        <w:t>各设区市人力资源和社会保障局、平潭综合实验区社会事业局：</w:t>
      </w:r>
    </w:p>
    <w:p w14:paraId="786EDDD9">
      <w:pPr>
        <w:widowControl/>
        <w:numPr>
          <w:ilvl w:val="0"/>
          <w:numId w:val="0"/>
        </w:numPr>
        <w:spacing w:line="570" w:lineRule="exact"/>
        <w:ind w:firstLine="640" w:firstLineChars="200"/>
        <w:jc w:val="left"/>
        <w:rPr>
          <w:rFonts w:hint="default" w:ascii="仿宋_GB2312" w:hAnsi="Times New Roman" w:eastAsia="仿宋_GB2312" w:cs="Times New Roman"/>
          <w:sz w:val="32"/>
          <w:szCs w:val="32"/>
          <w:lang w:val="en" w:eastAsia="zh-CN" w:bidi="ar"/>
        </w:rPr>
      </w:pPr>
      <w:r>
        <w:rPr>
          <w:rFonts w:hint="default" w:ascii="仿宋_GB2312" w:hAnsi="Times New Roman" w:eastAsia="仿宋_GB2312" w:cs="Times New Roman"/>
          <w:sz w:val="32"/>
          <w:szCs w:val="32"/>
          <w:lang w:val="en" w:eastAsia="zh-CN" w:bidi="ar"/>
        </w:rPr>
        <w:t>为进一步做好我省人力资源服务许可等工作，根据</w:t>
      </w:r>
      <w:r>
        <w:rPr>
          <w:rFonts w:hint="eastAsia" w:ascii="仿宋_GB2312" w:hAnsi="Times New Roman" w:cs="Times New Roman"/>
          <w:sz w:val="32"/>
          <w:szCs w:val="32"/>
          <w:lang w:val="en" w:eastAsia="zh-CN" w:bidi="ar"/>
        </w:rPr>
        <w:t>《就业促进法》、</w:t>
      </w:r>
      <w:r>
        <w:rPr>
          <w:rFonts w:hint="default" w:ascii="仿宋_GB2312" w:hAnsi="Times New Roman" w:eastAsia="仿宋_GB2312" w:cs="Times New Roman"/>
          <w:sz w:val="32"/>
          <w:szCs w:val="32"/>
          <w:lang w:val="en" w:eastAsia="zh-CN" w:bidi="ar"/>
        </w:rPr>
        <w:t>《人力资源市场暂行条例》</w:t>
      </w:r>
      <w:r>
        <w:rPr>
          <w:rFonts w:hint="eastAsia" w:ascii="仿宋_GB2312" w:hAnsi="Times New Roman" w:cs="Times New Roman"/>
          <w:sz w:val="32"/>
          <w:szCs w:val="32"/>
          <w:lang w:val="en" w:eastAsia="zh-CN" w:bidi="ar"/>
        </w:rPr>
        <w:t>、</w:t>
      </w:r>
      <w:r>
        <w:rPr>
          <w:rFonts w:hint="default" w:ascii="仿宋_GB2312" w:hAnsi="Times New Roman" w:eastAsia="仿宋_GB2312" w:cs="Times New Roman"/>
          <w:sz w:val="32"/>
          <w:szCs w:val="32"/>
          <w:lang w:val="en" w:eastAsia="zh-CN" w:bidi="ar"/>
        </w:rPr>
        <w:t>《福建省人力资源市场条例》</w:t>
      </w:r>
      <w:r>
        <w:rPr>
          <w:rFonts w:hint="eastAsia" w:ascii="仿宋_GB2312" w:hAnsi="Times New Roman" w:cs="Times New Roman"/>
          <w:sz w:val="32"/>
          <w:szCs w:val="32"/>
          <w:lang w:val="en" w:eastAsia="zh-CN" w:bidi="ar"/>
        </w:rPr>
        <w:t>、《网络招聘服务管理规定》、</w:t>
      </w:r>
      <w:r>
        <w:rPr>
          <w:rFonts w:hint="default" w:ascii="仿宋_GB2312" w:hAnsi="Times New Roman" w:eastAsia="仿宋_GB2312" w:cs="Times New Roman"/>
          <w:sz w:val="32"/>
          <w:szCs w:val="32"/>
          <w:lang w:val="en" w:eastAsia="zh-CN" w:bidi="ar"/>
        </w:rPr>
        <w:t>《人力资源服务机构管理规定》等规定，现就有关事项通知如下：</w:t>
      </w:r>
    </w:p>
    <w:p w14:paraId="29F648F2">
      <w:pPr>
        <w:widowControl/>
        <w:numPr>
          <w:ilvl w:val="0"/>
          <w:numId w:val="0"/>
        </w:numPr>
        <w:spacing w:line="570" w:lineRule="exact"/>
        <w:ind w:firstLine="640" w:firstLineChars="200"/>
        <w:jc w:val="left"/>
        <w:rPr>
          <w:rFonts w:hint="default" w:ascii="仿宋_GB2312" w:hAnsi="Times New Roman" w:eastAsia="仿宋_GB2312" w:cs="Times New Roman"/>
          <w:sz w:val="32"/>
          <w:szCs w:val="32"/>
          <w:lang w:val="en" w:eastAsia="zh-CN" w:bidi="ar"/>
        </w:rPr>
      </w:pPr>
      <w:r>
        <w:rPr>
          <w:rFonts w:hint="default" w:ascii="仿宋_GB2312" w:hAnsi="Times New Roman" w:eastAsia="仿宋_GB2312" w:cs="Times New Roman"/>
          <w:sz w:val="32"/>
          <w:szCs w:val="32"/>
          <w:lang w:val="en" w:eastAsia="zh-CN" w:bidi="ar"/>
        </w:rPr>
        <w:t>一、经营性人力资源服务机构从事职业中介活动，应当具备下列条件：</w:t>
      </w:r>
    </w:p>
    <w:p w14:paraId="17888536">
      <w:pPr>
        <w:widowControl/>
        <w:numPr>
          <w:ilvl w:val="0"/>
          <w:numId w:val="0"/>
        </w:numPr>
        <w:spacing w:line="570" w:lineRule="exact"/>
        <w:ind w:left="0" w:leftChars="0" w:firstLine="640" w:firstLineChars="200"/>
        <w:jc w:val="left"/>
        <w:rPr>
          <w:rFonts w:hint="default" w:ascii="仿宋_GB2312" w:hAnsi="Times New Roman" w:eastAsia="仿宋_GB2312" w:cs="Times New Roman"/>
          <w:sz w:val="32"/>
          <w:szCs w:val="32"/>
          <w:lang w:val="en" w:eastAsia="zh-CN" w:bidi="ar"/>
        </w:rPr>
      </w:pPr>
      <w:r>
        <w:rPr>
          <w:rFonts w:hint="eastAsia" w:ascii="仿宋_GB2312" w:hAnsi="Times New Roman" w:cs="Times New Roman"/>
          <w:sz w:val="32"/>
          <w:szCs w:val="32"/>
          <w:lang w:val="en" w:eastAsia="zh-CN" w:bidi="ar"/>
        </w:rPr>
        <w:t>（一）</w:t>
      </w:r>
      <w:r>
        <w:rPr>
          <w:rFonts w:hint="default" w:ascii="仿宋_GB2312" w:hAnsi="Times New Roman" w:eastAsia="仿宋_GB2312" w:cs="Times New Roman"/>
          <w:sz w:val="32"/>
          <w:szCs w:val="32"/>
          <w:lang w:val="en" w:eastAsia="zh-CN" w:bidi="ar"/>
        </w:rPr>
        <w:t>有明确的章程和管理制度；</w:t>
      </w:r>
    </w:p>
    <w:p w14:paraId="6875DD91">
      <w:pPr>
        <w:widowControl/>
        <w:numPr>
          <w:ilvl w:val="0"/>
          <w:numId w:val="0"/>
        </w:numPr>
        <w:spacing w:line="570" w:lineRule="exact"/>
        <w:ind w:left="0" w:leftChars="0" w:firstLine="640" w:firstLineChars="200"/>
        <w:jc w:val="left"/>
        <w:rPr>
          <w:rFonts w:hint="default" w:ascii="仿宋_GB2312" w:hAnsi="Times New Roman" w:eastAsia="仿宋_GB2312" w:cs="Times New Roman"/>
          <w:sz w:val="32"/>
          <w:szCs w:val="32"/>
          <w:lang w:val="en" w:eastAsia="zh-CN" w:bidi="ar"/>
        </w:rPr>
      </w:pPr>
      <w:r>
        <w:rPr>
          <w:rFonts w:hint="eastAsia" w:ascii="仿宋_GB2312" w:hAnsi="Times New Roman" w:cs="Times New Roman"/>
          <w:sz w:val="32"/>
          <w:szCs w:val="32"/>
          <w:lang w:val="en" w:eastAsia="zh-CN" w:bidi="ar"/>
        </w:rPr>
        <w:t>（二）</w:t>
      </w:r>
      <w:r>
        <w:rPr>
          <w:rFonts w:hint="default" w:ascii="仿宋_GB2312" w:hAnsi="Times New Roman" w:eastAsia="仿宋_GB2312" w:cs="Times New Roman"/>
          <w:sz w:val="32"/>
          <w:szCs w:val="32"/>
          <w:lang w:val="en" w:eastAsia="zh-CN" w:bidi="ar"/>
        </w:rPr>
        <w:t>有开展业务必备的固定场所、办公设施；</w:t>
      </w:r>
    </w:p>
    <w:p w14:paraId="02BAEFDE">
      <w:pPr>
        <w:widowControl/>
        <w:numPr>
          <w:ilvl w:val="0"/>
          <w:numId w:val="0"/>
        </w:numPr>
        <w:spacing w:line="570" w:lineRule="exact"/>
        <w:ind w:left="0" w:leftChars="0" w:firstLine="640" w:firstLineChars="200"/>
        <w:jc w:val="left"/>
        <w:rPr>
          <w:rFonts w:hint="default" w:ascii="仿宋_GB2312" w:hAnsi="Times New Roman" w:eastAsia="仿宋_GB2312" w:cs="Times New Roman"/>
          <w:sz w:val="32"/>
          <w:szCs w:val="32"/>
          <w:lang w:val="en" w:eastAsia="zh-CN" w:bidi="ar"/>
        </w:rPr>
      </w:pPr>
      <w:r>
        <w:rPr>
          <w:rFonts w:hint="eastAsia" w:ascii="仿宋_GB2312" w:hAnsi="Times New Roman" w:cs="Times New Roman"/>
          <w:sz w:val="32"/>
          <w:szCs w:val="32"/>
          <w:lang w:val="en" w:eastAsia="zh-CN" w:bidi="ar"/>
        </w:rPr>
        <w:t>（三）</w:t>
      </w:r>
      <w:r>
        <w:rPr>
          <w:rFonts w:hint="default" w:ascii="仿宋_GB2312" w:hAnsi="Times New Roman" w:eastAsia="仿宋_GB2312" w:cs="Times New Roman"/>
          <w:sz w:val="32"/>
          <w:szCs w:val="32"/>
          <w:lang w:val="en" w:eastAsia="zh-CN" w:bidi="ar"/>
        </w:rPr>
        <w:t>开办资金不少于人民币10万元；</w:t>
      </w:r>
    </w:p>
    <w:p w14:paraId="344727F2">
      <w:pPr>
        <w:widowControl/>
        <w:numPr>
          <w:ilvl w:val="0"/>
          <w:numId w:val="0"/>
        </w:numPr>
        <w:spacing w:line="570" w:lineRule="exact"/>
        <w:ind w:left="0" w:leftChars="0" w:firstLine="640" w:firstLineChars="200"/>
        <w:jc w:val="left"/>
        <w:rPr>
          <w:rFonts w:hint="default" w:ascii="仿宋_GB2312" w:hAnsi="Times New Roman" w:eastAsia="仿宋_GB2312" w:cs="Times New Roman"/>
          <w:sz w:val="32"/>
          <w:szCs w:val="32"/>
          <w:lang w:val="en" w:eastAsia="zh-CN" w:bidi="ar"/>
        </w:rPr>
      </w:pPr>
      <w:r>
        <w:rPr>
          <w:rFonts w:hint="eastAsia" w:ascii="仿宋_GB2312" w:hAnsi="Times New Roman" w:cs="Times New Roman"/>
          <w:sz w:val="32"/>
          <w:szCs w:val="32"/>
          <w:lang w:val="en" w:eastAsia="zh-CN" w:bidi="ar"/>
        </w:rPr>
        <w:t>（四）</w:t>
      </w:r>
      <w:r>
        <w:rPr>
          <w:rFonts w:hint="default" w:ascii="仿宋_GB2312" w:hAnsi="Times New Roman" w:eastAsia="仿宋_GB2312" w:cs="Times New Roman"/>
          <w:sz w:val="32"/>
          <w:szCs w:val="32"/>
          <w:lang w:val="en" w:eastAsia="zh-CN" w:bidi="ar"/>
        </w:rPr>
        <w:t>有3名以上专职工作人员；</w:t>
      </w:r>
    </w:p>
    <w:p w14:paraId="4BBEBDB7">
      <w:pPr>
        <w:widowControl/>
        <w:numPr>
          <w:ilvl w:val="0"/>
          <w:numId w:val="0"/>
        </w:numPr>
        <w:spacing w:line="570" w:lineRule="exact"/>
        <w:ind w:left="0" w:leftChars="0" w:firstLine="640" w:firstLineChars="200"/>
        <w:jc w:val="left"/>
        <w:rPr>
          <w:rFonts w:hint="default" w:ascii="仿宋_GB2312" w:hAnsi="Times New Roman" w:eastAsia="仿宋_GB2312" w:cs="Times New Roman"/>
          <w:sz w:val="32"/>
          <w:szCs w:val="32"/>
          <w:lang w:val="en" w:eastAsia="zh-CN" w:bidi="ar"/>
        </w:rPr>
      </w:pPr>
      <w:r>
        <w:rPr>
          <w:rFonts w:hint="eastAsia" w:ascii="仿宋_GB2312" w:hAnsi="Times New Roman" w:cs="Times New Roman"/>
          <w:sz w:val="32"/>
          <w:szCs w:val="32"/>
          <w:lang w:val="en" w:eastAsia="zh-CN" w:bidi="ar"/>
        </w:rPr>
        <w:t>（五）</w:t>
      </w:r>
      <w:r>
        <w:rPr>
          <w:rFonts w:hint="default" w:ascii="仿宋_GB2312" w:hAnsi="Times New Roman" w:eastAsia="仿宋_GB2312" w:cs="Times New Roman"/>
          <w:sz w:val="32"/>
          <w:szCs w:val="32"/>
          <w:lang w:val="en" w:eastAsia="zh-CN" w:bidi="ar"/>
        </w:rPr>
        <w:t>法律法规规定的其他条件。</w:t>
      </w:r>
    </w:p>
    <w:p w14:paraId="7016401E">
      <w:pPr>
        <w:widowControl/>
        <w:numPr>
          <w:ilvl w:val="0"/>
          <w:numId w:val="0"/>
        </w:numPr>
        <w:spacing w:line="570" w:lineRule="exact"/>
        <w:ind w:firstLine="640" w:firstLineChars="200"/>
        <w:jc w:val="left"/>
        <w:rPr>
          <w:rFonts w:hint="default" w:ascii="仿宋_GB2312" w:hAnsi="Times New Roman" w:eastAsia="仿宋_GB2312" w:cs="Times New Roman"/>
          <w:sz w:val="32"/>
          <w:szCs w:val="32"/>
          <w:lang w:val="en" w:eastAsia="zh-CN" w:bidi="ar"/>
        </w:rPr>
      </w:pPr>
      <w:r>
        <w:rPr>
          <w:rFonts w:hint="eastAsia" w:ascii="仿宋_GB2312" w:hAnsi="Times New Roman" w:cs="Times New Roman"/>
          <w:sz w:val="32"/>
          <w:szCs w:val="32"/>
          <w:lang w:val="en" w:eastAsia="zh-CN" w:bidi="ar"/>
        </w:rPr>
        <w:t>二、</w:t>
      </w:r>
      <w:r>
        <w:rPr>
          <w:rFonts w:hint="default" w:ascii="仿宋_GB2312" w:hAnsi="Times New Roman" w:eastAsia="仿宋_GB2312" w:cs="Times New Roman"/>
          <w:sz w:val="32"/>
          <w:szCs w:val="32"/>
          <w:lang w:val="en" w:eastAsia="zh-CN" w:bidi="ar"/>
        </w:rPr>
        <w:t>经营性人力资源服务机构从事职业中介活动的，应在主体登记办理完毕后，依法向住所地县级以上人力资源社会保障行政部门申请行政许可。</w:t>
      </w:r>
    </w:p>
    <w:p w14:paraId="677F8EEC">
      <w:pPr>
        <w:widowControl/>
        <w:numPr>
          <w:ilvl w:val="0"/>
          <w:numId w:val="0"/>
        </w:numPr>
        <w:spacing w:line="570" w:lineRule="exact"/>
        <w:ind w:firstLine="640" w:firstLineChars="200"/>
        <w:jc w:val="left"/>
        <w:rPr>
          <w:rFonts w:hint="default" w:ascii="仿宋_GB2312" w:hAnsi="Times New Roman" w:eastAsia="仿宋_GB2312" w:cs="Times New Roman"/>
          <w:color w:val="auto"/>
          <w:kern w:val="2"/>
          <w:sz w:val="32"/>
          <w:szCs w:val="32"/>
          <w:lang w:val="en" w:eastAsia="zh-CN" w:bidi="ar"/>
        </w:rPr>
      </w:pPr>
      <w:r>
        <w:rPr>
          <w:rFonts w:hint="eastAsia" w:ascii="仿宋_GB2312" w:hAnsi="Times New Roman" w:cs="Times New Roman"/>
          <w:sz w:val="32"/>
          <w:szCs w:val="32"/>
          <w:lang w:val="en" w:eastAsia="zh-CN" w:bidi="ar"/>
        </w:rPr>
        <w:t>（一）</w:t>
      </w:r>
      <w:r>
        <w:rPr>
          <w:rFonts w:hint="default" w:ascii="仿宋_GB2312" w:hAnsi="Times New Roman" w:eastAsia="仿宋_GB2312" w:cs="Times New Roman"/>
          <w:sz w:val="32"/>
          <w:szCs w:val="32"/>
          <w:lang w:val="en" w:eastAsia="zh-CN" w:bidi="ar"/>
        </w:rPr>
        <w:t>在省级登记部门办理登记的，向该机构住所地设区市一级人力资源社会保障行政部门申请行政许可；在设区市一级登记部门办理登记的，向设区市一级人力资源社会保障行政部门申请行政许可；在县区一级登记部门办理登记的，向县区一级人力资源社会保障行政部门申请行政许可。</w:t>
      </w:r>
    </w:p>
    <w:p w14:paraId="68FBBD99">
      <w:pPr>
        <w:widowControl/>
        <w:numPr>
          <w:ilvl w:val="0"/>
          <w:numId w:val="0"/>
        </w:numPr>
        <w:spacing w:line="570" w:lineRule="exact"/>
        <w:ind w:firstLine="640" w:firstLineChars="200"/>
        <w:jc w:val="left"/>
        <w:rPr>
          <w:rFonts w:hint="default" w:ascii="仿宋_GB2312" w:hAnsi="Times New Roman" w:eastAsia="仿宋_GB2312" w:cs="Times New Roman"/>
          <w:sz w:val="32"/>
          <w:szCs w:val="32"/>
          <w:lang w:val="en" w:eastAsia="zh-CN" w:bidi="ar"/>
        </w:rPr>
      </w:pPr>
      <w:r>
        <w:rPr>
          <w:rFonts w:hint="default" w:ascii="仿宋_GB2312" w:hAnsi="Times New Roman" w:eastAsia="仿宋_GB2312" w:cs="Times New Roman"/>
          <w:color w:val="auto"/>
          <w:kern w:val="2"/>
          <w:sz w:val="32"/>
          <w:szCs w:val="32"/>
          <w:lang w:val="en" w:eastAsia="zh-CN" w:bidi="ar"/>
        </w:rPr>
        <w:t>（二）</w:t>
      </w:r>
      <w:r>
        <w:rPr>
          <w:rFonts w:hint="default" w:ascii="仿宋_GB2312" w:hAnsi="Times New Roman" w:eastAsia="仿宋_GB2312" w:cs="Times New Roman"/>
          <w:sz w:val="32"/>
          <w:szCs w:val="32"/>
          <w:lang w:val="en" w:eastAsia="zh-CN" w:bidi="ar"/>
        </w:rPr>
        <w:t>根据《福建省人民政府关于取消、下放和调整一批省级行政许可事项的通知》（闽政文〔2018〕55号），省级机关、事业单位所属人力资源服务机构（含中国海峡人才市场等5家授权管理流动人员档案的人力资源服务机构）和省属高校人力资源服务机构的后续管理仍由省人社厅负责。</w:t>
      </w:r>
    </w:p>
    <w:p w14:paraId="5FBFB424">
      <w:pPr>
        <w:widowControl/>
        <w:numPr>
          <w:ilvl w:val="0"/>
          <w:numId w:val="0"/>
        </w:numPr>
        <w:adjustRightInd/>
        <w:snapToGrid/>
        <w:spacing w:line="570" w:lineRule="exact"/>
        <w:ind w:firstLine="640" w:firstLineChars="200"/>
        <w:jc w:val="left"/>
        <w:rPr>
          <w:rFonts w:hint="default" w:ascii="仿宋_GB2312" w:hAnsi="Times New Roman" w:eastAsia="仿宋_GB2312" w:cs="Times New Roman"/>
          <w:sz w:val="32"/>
          <w:szCs w:val="32"/>
          <w:lang w:val="en" w:eastAsia="zh-CN" w:bidi="ar"/>
        </w:rPr>
      </w:pPr>
      <w:r>
        <w:rPr>
          <w:rFonts w:hint="default" w:ascii="仿宋_GB2312" w:hAnsi="Times New Roman" w:eastAsia="仿宋_GB2312" w:cs="Times New Roman"/>
          <w:sz w:val="32"/>
          <w:szCs w:val="32"/>
          <w:lang w:val="en" w:eastAsia="zh-CN" w:bidi="ar"/>
        </w:rPr>
        <w:t>三、经营性人力资源服务机构办理备案、书面报告、提交经营情况年度报告等，按本通知第二条的规定，由相应的人力资源社会保障行政部门办理。</w:t>
      </w:r>
    </w:p>
    <w:p w14:paraId="7A0682F0">
      <w:pPr>
        <w:widowControl/>
        <w:numPr>
          <w:ilvl w:val="0"/>
          <w:numId w:val="0"/>
        </w:numPr>
        <w:adjustRightInd/>
        <w:snapToGrid/>
        <w:spacing w:line="570" w:lineRule="exact"/>
        <w:ind w:firstLine="640" w:firstLineChars="200"/>
        <w:jc w:val="left"/>
        <w:rPr>
          <w:rFonts w:hint="eastAsia" w:ascii="仿宋_GB2312" w:hAnsi="Times New Roman" w:eastAsia="仿宋_GB2312" w:cs="Times New Roman"/>
          <w:color w:val="000000"/>
          <w:szCs w:val="32"/>
          <w:lang w:val="en" w:bidi="ar"/>
        </w:rPr>
      </w:pPr>
      <w:r>
        <w:rPr>
          <w:rFonts w:hint="default" w:ascii="仿宋_GB2312" w:hAnsi="Times New Roman" w:cs="Times New Roman"/>
          <w:szCs w:val="32"/>
          <w:lang w:val="en" w:eastAsia="zh-CN" w:bidi="ar"/>
        </w:rPr>
        <w:t>四、对通过告知承诺制取得人力资源服务许可的人力资源服务机构，人力资源社会保障行政部门应在做出行政许可决定后1个月内，对申请人的承诺内容是否属实进行实地检查核验。</w:t>
      </w:r>
      <w:r>
        <w:rPr>
          <w:rFonts w:hint="default" w:ascii="仿宋_GB2312" w:hAnsi="Times New Roman" w:eastAsia="仿宋_GB2312" w:cs="Times New Roman"/>
          <w:color w:val="000000"/>
          <w:szCs w:val="32"/>
          <w:lang w:val="en-US" w:bidi="ar"/>
        </w:rPr>
        <w:t>发现违</w:t>
      </w:r>
      <w:r>
        <w:rPr>
          <w:rFonts w:hint="eastAsia" w:ascii="仿宋_GB2312" w:hAnsi="Times New Roman" w:eastAsia="仿宋_GB2312" w:cs="Times New Roman"/>
          <w:color w:val="000000"/>
          <w:szCs w:val="32"/>
          <w:lang w:val="en-US" w:bidi="ar"/>
        </w:rPr>
        <w:t>反承诺的，责令限期整改；逾期未改或整改不到位的，依法给予撤销人力资源服务许可等处罚</w:t>
      </w:r>
      <w:r>
        <w:rPr>
          <w:rFonts w:hint="default" w:ascii="仿宋_GB2312" w:hAnsi="Times New Roman" w:eastAsia="仿宋_GB2312" w:cs="Times New Roman"/>
          <w:color w:val="000000"/>
          <w:szCs w:val="32"/>
          <w:lang w:val="en-US" w:eastAsia="zh-CN" w:bidi="ar"/>
        </w:rPr>
        <w:t>，同时将申请人的失信行为纳入信用记录。</w:t>
      </w:r>
      <w:r>
        <w:rPr>
          <w:rFonts w:hint="default" w:ascii="仿宋_GB2312" w:hAnsi="Times New Roman" w:eastAsia="仿宋_GB2312" w:cs="Times New Roman"/>
          <w:color w:val="000000"/>
          <w:szCs w:val="32"/>
          <w:lang w:val="en" w:bidi="ar"/>
        </w:rPr>
        <w:t>根据</w:t>
      </w:r>
      <w:r>
        <w:rPr>
          <w:rFonts w:hint="eastAsia" w:ascii="仿宋_GB2312" w:hAnsi="Times New Roman" w:eastAsia="仿宋_GB2312" w:cs="Times New Roman"/>
          <w:color w:val="000000"/>
          <w:szCs w:val="32"/>
          <w:lang w:val="en" w:bidi="ar"/>
        </w:rPr>
        <w:t>违</w:t>
      </w:r>
      <w:r>
        <w:rPr>
          <w:rFonts w:hint="eastAsia" w:ascii="仿宋_GB2312" w:hAnsi="Times New Roman" w:eastAsia="仿宋_GB2312" w:cs="Times New Roman"/>
          <w:color w:val="000000"/>
          <w:szCs w:val="32"/>
          <w:lang w:val="en-US" w:bidi="ar"/>
        </w:rPr>
        <w:t>反</w:t>
      </w:r>
      <w:r>
        <w:rPr>
          <w:rFonts w:hint="eastAsia" w:ascii="仿宋_GB2312" w:hAnsi="Times New Roman" w:eastAsia="仿宋_GB2312" w:cs="Times New Roman"/>
          <w:color w:val="000000"/>
          <w:szCs w:val="32"/>
          <w:lang w:val="en" w:bidi="ar"/>
        </w:rPr>
        <w:t>承诺的具体情形，</w:t>
      </w:r>
      <w:r>
        <w:rPr>
          <w:rFonts w:hint="default" w:ascii="仿宋_GB2312" w:hAnsi="Times New Roman" w:eastAsia="仿宋_GB2312" w:cs="Times New Roman"/>
          <w:color w:val="000000"/>
          <w:szCs w:val="32"/>
          <w:lang w:val="en" w:bidi="ar"/>
        </w:rPr>
        <w:t>可</w:t>
      </w:r>
      <w:r>
        <w:rPr>
          <w:rFonts w:hint="eastAsia" w:ascii="仿宋_GB2312" w:hAnsi="Times New Roman" w:eastAsia="仿宋_GB2312" w:cs="Times New Roman"/>
          <w:color w:val="000000"/>
          <w:szCs w:val="32"/>
          <w:lang w:val="en" w:bidi="ar"/>
        </w:rPr>
        <w:t>在入驻人力资源服务产业园、政府购买人力资源服务等方面予以限制。</w:t>
      </w:r>
    </w:p>
    <w:p w14:paraId="020CBDCE">
      <w:pPr>
        <w:widowControl/>
        <w:numPr>
          <w:ilvl w:val="0"/>
          <w:numId w:val="0"/>
        </w:numPr>
        <w:adjustRightInd/>
        <w:snapToGrid/>
        <w:spacing w:line="570" w:lineRule="exact"/>
        <w:ind w:firstLine="640" w:firstLineChars="200"/>
        <w:jc w:val="left"/>
        <w:rPr>
          <w:rFonts w:hint="default" w:ascii="仿宋_GB2312" w:hAnsi="Times New Roman" w:eastAsia="仿宋_GB2312" w:cs="Times New Roman"/>
          <w:color w:val="000000"/>
          <w:szCs w:val="32"/>
          <w:lang w:val="en" w:eastAsia="zh-CN" w:bidi="ar"/>
        </w:rPr>
      </w:pPr>
      <w:r>
        <w:rPr>
          <w:rFonts w:hint="default" w:ascii="仿宋_GB2312" w:hAnsi="Times New Roman" w:eastAsia="仿宋_GB2312" w:cs="Times New Roman"/>
          <w:szCs w:val="32"/>
          <w:lang w:val="en" w:eastAsia="zh-CN" w:bidi="ar"/>
        </w:rPr>
        <w:t>对通过告知承诺制取得人力资源服务许可的人力资源服务机构，</w:t>
      </w:r>
      <w:r>
        <w:rPr>
          <w:rFonts w:hint="default" w:ascii="仿宋_GB2312" w:hAnsi="Times New Roman" w:eastAsia="仿宋_GB2312" w:cs="Times New Roman"/>
          <w:color w:val="000000"/>
          <w:szCs w:val="32"/>
          <w:lang w:val="en-US" w:bidi="ar"/>
        </w:rPr>
        <w:t>人</w:t>
      </w:r>
      <w:r>
        <w:rPr>
          <w:rFonts w:hint="default" w:ascii="仿宋_GB2312" w:hAnsi="Times New Roman" w:eastAsia="仿宋_GB2312" w:cs="Times New Roman"/>
          <w:color w:val="000000"/>
          <w:szCs w:val="32"/>
          <w:lang w:val="en" w:bidi="ar"/>
        </w:rPr>
        <w:t>力资源社会保障行政部门在对人力资源服务机构开展日常监督检查时，应重点对告知承诺事项真实性进行检查。</w:t>
      </w:r>
    </w:p>
    <w:p w14:paraId="0DBA67A1">
      <w:pPr>
        <w:widowControl/>
        <w:numPr>
          <w:ilvl w:val="0"/>
          <w:numId w:val="0"/>
        </w:numPr>
        <w:spacing w:line="570" w:lineRule="exact"/>
        <w:ind w:firstLine="640" w:firstLineChars="200"/>
        <w:jc w:val="left"/>
        <w:rPr>
          <w:rFonts w:hint="default" w:ascii="仿宋_GB2312" w:hAnsi="Times New Roman" w:eastAsia="仿宋_GB2312" w:cs="Times New Roman"/>
          <w:sz w:val="32"/>
          <w:szCs w:val="32"/>
          <w:lang w:val="en" w:eastAsia="zh-CN" w:bidi="ar"/>
        </w:rPr>
      </w:pPr>
      <w:r>
        <w:rPr>
          <w:rFonts w:hint="default" w:ascii="仿宋_GB2312" w:hAnsi="Times New Roman" w:eastAsia="仿宋_GB2312" w:cs="Times New Roman"/>
          <w:sz w:val="32"/>
          <w:szCs w:val="32"/>
          <w:lang w:val="en" w:eastAsia="zh-CN" w:bidi="ar"/>
        </w:rPr>
        <w:t>五、经营性人力资源服务机构跨管辖区域变更住所的，应当在变更登记办理完毕之日起15日内，书面报告迁入地人力资源社会保障行政部门。迁入地与迁出地人力资源社会保障部门应做好信息互通、材料交接等工作，迁入地人力资源社会保障行政部门在接到书面报告之日起10日内书面通知迁出地人力资源社会保障行政部门，迁出地人力资源社会保障部门在接到迁入地人力资源社会保障行政部门书面通知之日起10日内，向迁入地人力资源社会保障行政部门移交经营性人力资源服务机构申请行政许可、办理备案的原始材料。</w:t>
      </w:r>
    </w:p>
    <w:p w14:paraId="4CFCBA32">
      <w:pPr>
        <w:widowControl/>
        <w:numPr>
          <w:ilvl w:val="0"/>
          <w:numId w:val="0"/>
        </w:numPr>
        <w:spacing w:line="570" w:lineRule="exact"/>
        <w:ind w:firstLine="640" w:firstLineChars="200"/>
        <w:jc w:val="left"/>
        <w:rPr>
          <w:rFonts w:hint="default" w:ascii="仿宋_GB2312" w:hAnsi="Times New Roman" w:eastAsia="仿宋_GB2312" w:cs="Times New Roman"/>
          <w:sz w:val="32"/>
          <w:szCs w:val="32"/>
          <w:lang w:val="en" w:eastAsia="zh-CN" w:bidi="ar"/>
        </w:rPr>
      </w:pPr>
      <w:r>
        <w:rPr>
          <w:rFonts w:hint="default" w:ascii="仿宋_GB2312" w:hAnsi="Times New Roman" w:eastAsia="仿宋_GB2312" w:cs="Times New Roman"/>
          <w:sz w:val="32"/>
          <w:szCs w:val="32"/>
          <w:lang w:val="en" w:eastAsia="zh-CN" w:bidi="ar"/>
        </w:rPr>
        <w:t>六、经营性人力资源服务机构</w:t>
      </w:r>
      <w:r>
        <w:rPr>
          <w:rFonts w:hint="default" w:ascii="仿宋_GB2312" w:hAnsi="Times New Roman" w:eastAsia="仿宋_GB2312" w:cs="Times New Roman"/>
          <w:color w:val="auto"/>
          <w:sz w:val="32"/>
          <w:szCs w:val="32"/>
          <w:lang w:val="en" w:eastAsia="zh-CN" w:bidi="ar"/>
        </w:rPr>
        <w:t>应在每年3月31日前，向</w:t>
      </w:r>
      <w:r>
        <w:rPr>
          <w:rFonts w:hint="default" w:ascii="仿宋_GB2312" w:hAnsi="Times New Roman" w:eastAsia="仿宋_GB2312" w:cs="Times New Roman"/>
          <w:sz w:val="32"/>
          <w:szCs w:val="32"/>
          <w:lang w:val="en" w:eastAsia="zh-CN" w:bidi="ar"/>
        </w:rPr>
        <w:t>住所地人力资源社会保障行政部门提交上一年度的经营情况年度报告，并对报告的真实性、合法性负责。经营性人力资源服务机构设立的分支机构，也需向分支机构所在地的人力资源社会保障部门提交经营情况年度报告。</w:t>
      </w:r>
    </w:p>
    <w:p w14:paraId="2541D187">
      <w:pPr>
        <w:widowControl/>
        <w:numPr>
          <w:ilvl w:val="0"/>
          <w:numId w:val="0"/>
        </w:numPr>
        <w:spacing w:line="570" w:lineRule="exact"/>
        <w:ind w:firstLine="640" w:firstLineChars="200"/>
        <w:jc w:val="left"/>
        <w:rPr>
          <w:rFonts w:hint="default" w:ascii="仿宋_GB2312" w:hAnsi="Times New Roman" w:eastAsia="仿宋_GB2312" w:cs="Times New Roman"/>
          <w:sz w:val="32"/>
          <w:szCs w:val="32"/>
          <w:lang w:val="en" w:eastAsia="zh-CN" w:bidi="ar"/>
        </w:rPr>
      </w:pPr>
      <w:r>
        <w:rPr>
          <w:rFonts w:hint="default" w:ascii="仿宋_GB2312" w:hAnsi="Times New Roman" w:eastAsia="仿宋_GB2312" w:cs="Times New Roman"/>
          <w:sz w:val="32"/>
          <w:szCs w:val="32"/>
          <w:lang w:val="en" w:eastAsia="zh-CN" w:bidi="ar"/>
        </w:rPr>
        <w:t>七、各级人力资源社会保障行政部门要依法开展抽查或者根据举报核查人力资源服务机构的经营情况年度报告信息，并于每年4月30日前在门户网站上进行不少于30日的信息公示。</w:t>
      </w:r>
    </w:p>
    <w:p w14:paraId="4278A678">
      <w:pPr>
        <w:widowControl/>
        <w:numPr>
          <w:ilvl w:val="0"/>
          <w:numId w:val="0"/>
        </w:numPr>
        <w:spacing w:line="570" w:lineRule="exact"/>
        <w:ind w:firstLine="640" w:firstLineChars="200"/>
        <w:jc w:val="left"/>
        <w:rPr>
          <w:rFonts w:hint="default" w:ascii="仿宋_GB2312" w:hAnsi="Times New Roman" w:eastAsia="仿宋_GB2312" w:cs="Times New Roman"/>
          <w:color w:val="auto"/>
          <w:sz w:val="32"/>
          <w:szCs w:val="32"/>
          <w:lang w:val="en" w:eastAsia="zh-CN" w:bidi="ar"/>
        </w:rPr>
      </w:pPr>
      <w:r>
        <w:rPr>
          <w:rFonts w:hint="default" w:ascii="仿宋_GB2312" w:hAnsi="Times New Roman" w:eastAsia="仿宋_GB2312" w:cs="Times New Roman"/>
          <w:sz w:val="32"/>
          <w:szCs w:val="32"/>
          <w:lang w:val="en" w:eastAsia="zh-CN" w:bidi="ar"/>
        </w:rPr>
        <w:t>（一）</w:t>
      </w:r>
      <w:r>
        <w:rPr>
          <w:rFonts w:hint="default" w:ascii="仿宋_GB2312" w:hAnsi="Times New Roman" w:eastAsia="仿宋_GB2312" w:cs="Times New Roman"/>
          <w:color w:val="auto"/>
          <w:sz w:val="32"/>
          <w:szCs w:val="32"/>
          <w:lang w:val="en" w:eastAsia="zh-CN" w:bidi="ar"/>
        </w:rPr>
        <w:t>对未按规定提交年度报告的人力资源服务机构，人力资源社会保障行政部门需在公示信息上备注该机构未按规定提交年度报告，并依法进行处理。</w:t>
      </w:r>
      <w:r>
        <w:rPr>
          <w:rFonts w:hint="eastAsia" w:ascii="仿宋_GB2312" w:hAnsi="Times New Roman" w:cs="Times New Roman"/>
          <w:color w:val="auto"/>
          <w:sz w:val="32"/>
          <w:szCs w:val="32"/>
          <w:lang w:val="en" w:eastAsia="zh-CN" w:bidi="ar"/>
        </w:rPr>
        <w:t>对</w:t>
      </w:r>
      <w:r>
        <w:rPr>
          <w:rFonts w:hint="eastAsia" w:ascii="仿宋_GB2312" w:hAnsi="Times New Roman" w:cs="Times New Roman"/>
          <w:color w:val="auto"/>
          <w:sz w:val="32"/>
          <w:szCs w:val="32"/>
          <w:lang w:val="en-US" w:eastAsia="zh-CN" w:bidi="ar"/>
        </w:rPr>
        <w:t>未</w:t>
      </w:r>
      <w:r>
        <w:rPr>
          <w:rFonts w:hint="default" w:ascii="仿宋_GB2312" w:hAnsi="Times New Roman" w:eastAsia="仿宋_GB2312" w:cs="Times New Roman"/>
          <w:color w:val="auto"/>
          <w:sz w:val="32"/>
          <w:szCs w:val="32"/>
          <w:lang w:val="en" w:eastAsia="zh-CN" w:bidi="ar"/>
        </w:rPr>
        <w:t>开展业务的人力资源服务机构，人力资源社会保障行政部门需在公示信息上备注该机构未开展业务。</w:t>
      </w:r>
    </w:p>
    <w:p w14:paraId="5FF62C8C">
      <w:pPr>
        <w:widowControl/>
        <w:numPr>
          <w:ilvl w:val="0"/>
          <w:numId w:val="0"/>
        </w:numPr>
        <w:spacing w:line="570" w:lineRule="exact"/>
        <w:ind w:firstLine="640" w:firstLineChars="200"/>
        <w:jc w:val="left"/>
        <w:rPr>
          <w:rFonts w:hint="default" w:ascii="仿宋_GB2312" w:hAnsi="Times New Roman" w:eastAsia="仿宋_GB2312" w:cs="Times New Roman"/>
          <w:sz w:val="32"/>
          <w:szCs w:val="32"/>
          <w:lang w:val="en" w:eastAsia="zh-CN" w:bidi="ar"/>
        </w:rPr>
      </w:pPr>
      <w:r>
        <w:rPr>
          <w:rFonts w:hint="default" w:ascii="仿宋_GB2312" w:hAnsi="Times New Roman" w:eastAsia="仿宋_GB2312" w:cs="Times New Roman"/>
          <w:color w:val="auto"/>
          <w:sz w:val="32"/>
          <w:szCs w:val="32"/>
          <w:lang w:val="en" w:eastAsia="zh-CN" w:bidi="ar"/>
        </w:rPr>
        <w:t>（二）</w:t>
      </w:r>
      <w:r>
        <w:rPr>
          <w:rFonts w:hint="default" w:ascii="仿宋_GB2312" w:hAnsi="Times New Roman" w:eastAsia="仿宋_GB2312" w:cs="Times New Roman"/>
          <w:sz w:val="32"/>
          <w:szCs w:val="32"/>
          <w:lang w:val="en" w:eastAsia="zh-CN" w:bidi="ar"/>
        </w:rPr>
        <w:t>对按规定提交经营情况年度报告且经公示无异议的人力资源服务机构，人力资源社会保障行政部门在人力资源服务许可证年度报告公示记录栏加盖“年度报告合格”专用章。</w:t>
      </w:r>
    </w:p>
    <w:p w14:paraId="054B5DED">
      <w:pPr>
        <w:widowControl/>
        <w:numPr>
          <w:ilvl w:val="0"/>
          <w:numId w:val="0"/>
        </w:numPr>
        <w:spacing w:line="570" w:lineRule="exact"/>
        <w:ind w:firstLine="640" w:firstLineChars="200"/>
        <w:jc w:val="left"/>
        <w:rPr>
          <w:rFonts w:hint="default" w:ascii="仿宋_GB2312" w:hAnsi="Times New Roman" w:eastAsia="仿宋_GB2312" w:cs="Times New Roman"/>
          <w:color w:val="auto"/>
          <w:sz w:val="32"/>
          <w:szCs w:val="32"/>
          <w:lang w:val="en" w:eastAsia="zh-CN" w:bidi="ar"/>
        </w:rPr>
      </w:pPr>
      <w:r>
        <w:rPr>
          <w:rFonts w:hint="default" w:ascii="仿宋_GB2312" w:hAnsi="Times New Roman" w:eastAsia="仿宋_GB2312" w:cs="Times New Roman"/>
          <w:sz w:val="32"/>
          <w:szCs w:val="32"/>
          <w:lang w:val="en" w:eastAsia="zh-CN" w:bidi="ar"/>
        </w:rPr>
        <w:t>（三）</w:t>
      </w:r>
      <w:r>
        <w:rPr>
          <w:rFonts w:hint="default" w:ascii="仿宋_GB2312" w:hAnsi="Times New Roman" w:eastAsia="仿宋_GB2312" w:cs="Times New Roman"/>
          <w:color w:val="auto"/>
          <w:sz w:val="32"/>
          <w:szCs w:val="32"/>
          <w:lang w:val="en" w:eastAsia="zh-CN" w:bidi="ar"/>
        </w:rPr>
        <w:t>对抽查或核查中发现的人力资源服务机构经营情况年度报告存在的问题，以及经营情况年度报告公示期间收到的投诉举报线索，人力资源社会保障行政部门要严肃查实处理。</w:t>
      </w:r>
    </w:p>
    <w:p w14:paraId="4AB4CFCE">
      <w:pPr>
        <w:widowControl/>
        <w:numPr>
          <w:ilvl w:val="0"/>
          <w:numId w:val="0"/>
        </w:numPr>
        <w:spacing w:line="570" w:lineRule="exact"/>
        <w:ind w:firstLine="640" w:firstLineChars="200"/>
        <w:jc w:val="left"/>
        <w:rPr>
          <w:rFonts w:hint="default" w:ascii="仿宋_GB2312" w:hAnsi="Times New Roman" w:eastAsia="仿宋_GB2312" w:cs="Times New Roman"/>
          <w:sz w:val="32"/>
          <w:szCs w:val="32"/>
          <w:lang w:val="en" w:eastAsia="zh-CN" w:bidi="ar"/>
        </w:rPr>
      </w:pPr>
      <w:r>
        <w:rPr>
          <w:rFonts w:hint="default" w:ascii="仿宋_GB2312" w:hAnsi="Times New Roman" w:eastAsia="仿宋_GB2312" w:cs="Times New Roman"/>
          <w:sz w:val="32"/>
          <w:szCs w:val="32"/>
          <w:lang w:val="en" w:eastAsia="zh-CN" w:bidi="ar"/>
        </w:rPr>
        <w:t>八、对人力资源服务机构的监管，按照“谁许可，谁监管，谁备案，谁监管”的原则，实行属地监管。在做出行政许可决定、办理备案的人力资源社会保障行政部门管辖区域外，或者未经行政许可、未备案，违法从事人力资源服务活动的，由违法行为发生地的</w:t>
      </w:r>
      <w:r>
        <w:rPr>
          <w:rFonts w:hint="default" w:ascii="仿宋_GB2312" w:hAnsi="Times New Roman" w:eastAsia="仿宋_GB2312" w:cs="Times New Roman"/>
          <w:color w:val="auto"/>
          <w:sz w:val="32"/>
          <w:szCs w:val="32"/>
          <w:lang w:val="en" w:eastAsia="zh-CN" w:bidi="ar"/>
        </w:rPr>
        <w:t>县区一级</w:t>
      </w:r>
      <w:r>
        <w:rPr>
          <w:rFonts w:hint="default" w:ascii="仿宋_GB2312" w:hAnsi="Times New Roman" w:eastAsia="仿宋_GB2312" w:cs="Times New Roman"/>
          <w:sz w:val="32"/>
          <w:szCs w:val="32"/>
          <w:lang w:val="en" w:eastAsia="zh-CN" w:bidi="ar"/>
        </w:rPr>
        <w:t>人力资源社会保障行政部门管辖。多个地方人力资源社会保障行政部门对违法行为均具有管辖权的，由最先立案的人力资源社会保障行政部门管辖；发生管辖争议的，由共同的上一级人力资源社会保障行政部门指定管辖。</w:t>
      </w:r>
    </w:p>
    <w:p w14:paraId="7B8C9E94">
      <w:pPr>
        <w:widowControl/>
        <w:numPr>
          <w:ilvl w:val="0"/>
          <w:numId w:val="0"/>
        </w:numPr>
        <w:spacing w:line="570" w:lineRule="exact"/>
        <w:ind w:firstLine="640" w:firstLineChars="200"/>
        <w:jc w:val="left"/>
        <w:rPr>
          <w:rFonts w:hint="default" w:ascii="仿宋_GB2312" w:hAnsi="Times New Roman" w:eastAsia="仿宋_GB2312" w:cs="Times New Roman"/>
          <w:sz w:val="32"/>
          <w:szCs w:val="32"/>
          <w:lang w:val="en" w:eastAsia="zh-CN" w:bidi="ar"/>
        </w:rPr>
      </w:pPr>
      <w:r>
        <w:rPr>
          <w:rFonts w:hint="default" w:ascii="仿宋_GB2312" w:hAnsi="Times New Roman" w:eastAsia="仿宋_GB2312" w:cs="Times New Roman"/>
          <w:sz w:val="32"/>
          <w:szCs w:val="32"/>
          <w:lang w:val="en" w:eastAsia="zh-CN" w:bidi="ar"/>
        </w:rPr>
        <w:t>九、上级人力资源社会保障行政部门根据工作需要，可以调查处理下级人力资源社会保障行政部门管辖的案件；</w:t>
      </w:r>
      <w:r>
        <w:rPr>
          <w:rFonts w:hint="default" w:ascii="仿宋_GB2312" w:hAnsi="Times New Roman" w:eastAsia="仿宋_GB2312" w:cs="Times New Roman"/>
          <w:color w:val="auto"/>
          <w:sz w:val="32"/>
          <w:szCs w:val="32"/>
          <w:lang w:val="en" w:eastAsia="zh-CN" w:bidi="ar"/>
        </w:rPr>
        <w:t>涉及外商投资、港澳台资人力资源服务机构的案件，或引起社会普遍关注，具有较大社会影响等重大复杂案件，上级人</w:t>
      </w:r>
      <w:r>
        <w:rPr>
          <w:rFonts w:hint="default" w:ascii="仿宋_GB2312" w:hAnsi="Times New Roman" w:eastAsia="仿宋_GB2312" w:cs="Times New Roman"/>
          <w:sz w:val="32"/>
          <w:szCs w:val="32"/>
          <w:lang w:val="en" w:eastAsia="zh-CN" w:bidi="ar"/>
        </w:rPr>
        <w:t>力资源社会保障行政部门可以直接指定管辖。</w:t>
      </w:r>
    </w:p>
    <w:p w14:paraId="1EA36DA1">
      <w:pPr>
        <w:widowControl/>
        <w:numPr>
          <w:ilvl w:val="0"/>
          <w:numId w:val="0"/>
        </w:numPr>
        <w:spacing w:line="570" w:lineRule="exact"/>
        <w:ind w:firstLine="640" w:firstLineChars="200"/>
        <w:jc w:val="left"/>
        <w:rPr>
          <w:rFonts w:hint="eastAsia" w:ascii="仿宋_GB2312" w:hAnsi="Times New Roman" w:eastAsia="仿宋_GB2312" w:cs="Times New Roman"/>
          <w:sz w:val="32"/>
          <w:szCs w:val="32"/>
          <w:lang w:val="en-US" w:eastAsia="zh-CN" w:bidi="ar"/>
        </w:rPr>
      </w:pPr>
      <w:r>
        <w:rPr>
          <w:rFonts w:hint="default" w:ascii="仿宋_GB2312" w:hAnsi="Times New Roman" w:eastAsia="仿宋_GB2312" w:cs="Times New Roman"/>
          <w:sz w:val="32"/>
          <w:szCs w:val="32"/>
          <w:lang w:val="en" w:eastAsia="zh-CN" w:bidi="ar"/>
        </w:rPr>
        <w:t>本通知自2025年3月1日起执行，有效期五年。</w:t>
      </w:r>
    </w:p>
    <w:p w14:paraId="71D0AE76"/>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仿宋_GBK">
    <w:altName w:val="微软雅黑"/>
    <w:panose1 w:val="02000000000000000000"/>
    <w:charset w:val="86"/>
    <w:family w:val="auto"/>
    <w:pitch w:val="default"/>
    <w:sig w:usb0="00000000" w:usb1="00000000" w:usb2="00000000" w:usb3="00000000" w:csb0="00040000" w:csb1="00000000"/>
  </w:font>
  <w:font w:name="方正小标宋_GBK">
    <w:altName w:val="微软雅黑"/>
    <w:panose1 w:val="02000000000000000000"/>
    <w:charset w:val="86"/>
    <w:family w:val="auto"/>
    <w:pitch w:val="default"/>
    <w:sig w:usb0="00000000" w:usb1="0000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AEB4C7E"/>
    <w:rsid w:val="3AEB4C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customStyle="1" w:styleId="2">
    <w:name w:val="Default"/>
    <w:unhideWhenUsed/>
    <w:qFormat/>
    <w:uiPriority w:val="99"/>
    <w:pPr>
      <w:widowControl w:val="0"/>
      <w:autoSpaceDE w:val="0"/>
      <w:autoSpaceDN w:val="0"/>
      <w:adjustRightInd w:val="0"/>
    </w:pPr>
    <w:rPr>
      <w:rFonts w:hint="eastAsia" w:ascii="方正仿宋_GBK" w:hAnsi="方正仿宋_GBK" w:eastAsia="方正仿宋_GBK" w:cs="Times New Roman"/>
      <w:color w:val="000000"/>
      <w:sz w:val="24"/>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2025-01-10T08:30:00Z</dcterms:created>
  <dc:creator>彩虹</dc:creator>
  <cp:lastModifiedBy>彩虹</cp:lastModifiedBy>
  <dcterms:modified xsi:type="dcterms:W3CDTF">2025-01-10T08:32:19Z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894116CC8893403CABA6386D1FF30B02_11</vt:lpwstr>
  </property>
  <property fmtid="{D5CDD505-2E9C-101B-9397-08002B2CF9AE}" pid="4" name="KSOTemplateDocerSaveRecord">
    <vt:lpwstr>eyJoZGlkIjoiM2RkOTc3OWNmN2I4YTNmZDAxZTRmZGUzOWNlOTEyMDciLCJ1c2VySWQiOiIxMDQ0MjkxMTYxIn0=</vt:lpwstr>
  </property>
</Properties>
</file>