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97" w:lineRule="exact"/>
        <w:ind w:left="0" w:leftChars="0" w:right="0" w:rightChars="0" w:firstLine="0" w:firstLineChars="0"/>
        <w:jc w:val="center"/>
        <w:textAlignment w:val="auto"/>
        <w:outlineLvl w:val="9"/>
        <w:rPr>
          <w:rFonts w:hint="eastAsia" w:ascii="方正小标宋简体" w:hAnsi="方正小标宋简体" w:eastAsia="方正小标宋简体" w:cs="方正小标宋简体"/>
          <w:b w:val="0"/>
          <w:bCs w:val="0"/>
          <w:sz w:val="44"/>
          <w:szCs w:val="44"/>
        </w:rPr>
      </w:pPr>
      <w:r>
        <w:rPr>
          <w:rFonts w:hint="eastAsia" w:ascii="方正小标宋简体" w:hAnsi="方正小标宋简体" w:eastAsia="方正小标宋简体" w:cs="方正小标宋简体"/>
          <w:b w:val="0"/>
          <w:bCs w:val="0"/>
          <w:sz w:val="44"/>
          <w:szCs w:val="44"/>
        </w:rPr>
        <w:t>《福建省工程建设领域农民工工资保证金管理实施办法（2024版）》（征求意见稿）</w:t>
      </w:r>
    </w:p>
    <w:p>
      <w:pPr>
        <w:keepNext w:val="0"/>
        <w:keepLines w:val="0"/>
        <w:pageBreakBefore w:val="0"/>
        <w:widowControl w:val="0"/>
        <w:kinsoku/>
        <w:wordWrap/>
        <w:overflowPunct/>
        <w:topLinePunct w:val="0"/>
        <w:autoSpaceDE/>
        <w:autoSpaceDN/>
        <w:bidi w:val="0"/>
        <w:adjustRightInd/>
        <w:snapToGrid/>
        <w:spacing w:line="597" w:lineRule="exact"/>
        <w:ind w:left="0" w:leftChars="0" w:right="0" w:rightChars="0" w:firstLine="0" w:firstLineChars="0"/>
        <w:jc w:val="center"/>
        <w:textAlignment w:val="auto"/>
        <w:outlineLvl w:val="9"/>
        <w:rPr>
          <w:rFonts w:hint="eastAsia" w:ascii="方正小标宋简体" w:hAnsi="方正小标宋简体" w:eastAsia="方正小标宋简体" w:cs="方正小标宋简体"/>
          <w:b w:val="0"/>
          <w:bCs w:val="0"/>
          <w:sz w:val="44"/>
          <w:szCs w:val="44"/>
          <w:lang w:val="en-US" w:eastAsia="zh-CN"/>
        </w:rPr>
      </w:pPr>
      <w:r>
        <w:rPr>
          <w:rFonts w:hint="eastAsia" w:ascii="方正小标宋简体" w:hAnsi="方正小标宋简体" w:eastAsia="方正小标宋简体" w:cs="方正小标宋简体"/>
          <w:b w:val="0"/>
          <w:bCs w:val="0"/>
          <w:sz w:val="44"/>
          <w:szCs w:val="44"/>
          <w:lang w:val="en-US" w:eastAsia="zh-CN"/>
        </w:rPr>
        <w:t>起草说明</w:t>
      </w:r>
    </w:p>
    <w:p>
      <w:pPr>
        <w:keepNext w:val="0"/>
        <w:keepLines w:val="0"/>
        <w:pageBreakBefore w:val="0"/>
        <w:widowControl w:val="0"/>
        <w:kinsoku/>
        <w:wordWrap/>
        <w:overflowPunct/>
        <w:topLinePunct w:val="0"/>
        <w:autoSpaceDE/>
        <w:autoSpaceDN/>
        <w:bidi w:val="0"/>
        <w:adjustRightInd/>
        <w:snapToGrid/>
        <w:ind w:firstLine="640" w:firstLineChars="200"/>
        <w:jc w:val="both"/>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一、起草背景</w:t>
      </w:r>
    </w:p>
    <w:p>
      <w:pPr>
        <w:keepNext w:val="0"/>
        <w:keepLines w:val="0"/>
        <w:pageBreakBefore w:val="0"/>
        <w:widowControl w:val="0"/>
        <w:kinsoku/>
        <w:wordWrap/>
        <w:overflowPunct/>
        <w:topLinePunct w:val="0"/>
        <w:autoSpaceDE/>
        <w:autoSpaceDN/>
        <w:bidi w:val="0"/>
        <w:adjustRightInd/>
        <w:snapToGrid/>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工资保证金是解决工程建设领域欠薪问题的重要兜底保障措施。《保障农民工工资支付条例》第三十二条规定，施工总承包单位应当按照有关规定存储工资保证金，专项用于支付为所承包工程提供劳动的农民工被拖欠的工资。</w:t>
      </w:r>
    </w:p>
    <w:p>
      <w:pPr>
        <w:keepNext w:val="0"/>
        <w:keepLines w:val="0"/>
        <w:pageBreakBefore w:val="0"/>
        <w:widowControl w:val="0"/>
        <w:kinsoku/>
        <w:wordWrap/>
        <w:overflowPunct/>
        <w:topLinePunct w:val="0"/>
        <w:autoSpaceDE/>
        <w:autoSpaceDN/>
        <w:bidi w:val="0"/>
        <w:adjustRightInd/>
        <w:snapToGrid/>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2022年1月，福建省人社厅等六部门印发《福建省工程建设领域农民工工资保证金管</w:t>
      </w:r>
      <w:bookmarkStart w:id="0" w:name="_GoBack"/>
      <w:bookmarkEnd w:id="0"/>
      <w:r>
        <w:rPr>
          <w:rFonts w:hint="eastAsia" w:ascii="仿宋_GB2312" w:hAnsi="仿宋_GB2312" w:eastAsia="仿宋_GB2312" w:cs="仿宋_GB2312"/>
          <w:sz w:val="32"/>
          <w:szCs w:val="32"/>
          <w:lang w:val="en-US" w:eastAsia="zh-CN"/>
        </w:rPr>
        <w:t>理实施办法》（闽人社发〔2022〕1号）。原《实施办法》实施以来，在规范工资保证金存储、使用、返还和监管工作，预防和解决欠薪问题，防止因欠薪引发突发事件等方面发挥了重要作用。</w:t>
      </w:r>
    </w:p>
    <w:p>
      <w:pPr>
        <w:keepNext w:val="0"/>
        <w:keepLines w:val="0"/>
        <w:pageBreakBefore w:val="0"/>
        <w:widowControl w:val="0"/>
        <w:kinsoku/>
        <w:wordWrap/>
        <w:overflowPunct/>
        <w:topLinePunct w:val="0"/>
        <w:autoSpaceDE/>
        <w:autoSpaceDN/>
        <w:bidi w:val="0"/>
        <w:adjustRightInd/>
        <w:snapToGrid/>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为贯彻落实党中央、国务院关于优化营商环境的决策部署，进一步减轻企业负担，完善我省工资保证金制度，我们对原《实施办法》进行修订，研究制定了《福建省工程建设领域农民工工资保证金管理实施办法》。</w:t>
      </w:r>
    </w:p>
    <w:p>
      <w:pPr>
        <w:keepNext w:val="0"/>
        <w:keepLines w:val="0"/>
        <w:pageBreakBefore w:val="0"/>
        <w:widowControl w:val="0"/>
        <w:kinsoku/>
        <w:wordWrap/>
        <w:overflowPunct/>
        <w:topLinePunct w:val="0"/>
        <w:autoSpaceDE/>
        <w:autoSpaceDN/>
        <w:bidi w:val="0"/>
        <w:adjustRightInd/>
        <w:snapToGrid/>
        <w:ind w:firstLine="640" w:firstLineChars="200"/>
        <w:jc w:val="both"/>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二、起草文件依据</w:t>
      </w:r>
    </w:p>
    <w:p>
      <w:pPr>
        <w:keepNext w:val="0"/>
        <w:keepLines w:val="0"/>
        <w:pageBreakBefore w:val="0"/>
        <w:widowControl w:val="0"/>
        <w:kinsoku/>
        <w:wordWrap/>
        <w:overflowPunct/>
        <w:topLinePunct w:val="0"/>
        <w:autoSpaceDE/>
        <w:autoSpaceDN/>
        <w:bidi w:val="0"/>
        <w:adjustRightInd/>
        <w:snapToGrid/>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文件制定的主要依据是：《保障农民工工资支付条例》《保险公司偿付能力管理规定》《工程建设领域农民工工资保证金规定》（人社部发〔2021〕65号）、《工程建设领域农民工工资专用账户管理暂行办法》（人社部发〔2021〕53号）、《最高人民法院人力资源社会保障部 中国银保监会关于做好防止农民工工资专用账户资金和工资保证金被查封、冻结或者划拨有关工作的通知》（人社部发〔2020〕93号）。</w:t>
      </w:r>
    </w:p>
    <w:p>
      <w:pPr>
        <w:keepNext w:val="0"/>
        <w:keepLines w:val="0"/>
        <w:pageBreakBefore w:val="0"/>
        <w:widowControl w:val="0"/>
        <w:kinsoku/>
        <w:wordWrap/>
        <w:overflowPunct/>
        <w:topLinePunct w:val="0"/>
        <w:autoSpaceDE/>
        <w:autoSpaceDN/>
        <w:bidi w:val="0"/>
        <w:adjustRightInd/>
        <w:snapToGrid/>
        <w:ind w:firstLine="640" w:firstLineChars="200"/>
        <w:jc w:val="both"/>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三、起草目的</w:t>
      </w:r>
    </w:p>
    <w:p>
      <w:pPr>
        <w:keepNext w:val="0"/>
        <w:keepLines w:val="0"/>
        <w:pageBreakBefore w:val="0"/>
        <w:widowControl w:val="0"/>
        <w:kinsoku/>
        <w:wordWrap/>
        <w:overflowPunct/>
        <w:topLinePunct w:val="0"/>
        <w:autoSpaceDE/>
        <w:autoSpaceDN/>
        <w:bidi w:val="0"/>
        <w:adjustRightInd/>
        <w:snapToGrid/>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深入学习贯彻习近平总书记重要讲话重要指示批示精神，全面贯彻党中央、国务院关于优化营商环境的决策部署，落实《保障农民工工资支付条例》《工程建设领域农民工工资保证金规定》等有关法规政策，结合我省实际，进一步规范工资保证金存储、使用、返还和监管工作，减轻企业负担，完善我省工资保证金制度，切实预防和解决欠薪问题。</w:t>
      </w:r>
    </w:p>
    <w:p>
      <w:pPr>
        <w:keepNext w:val="0"/>
        <w:keepLines w:val="0"/>
        <w:pageBreakBefore w:val="0"/>
        <w:widowControl w:val="0"/>
        <w:kinsoku/>
        <w:wordWrap/>
        <w:overflowPunct/>
        <w:topLinePunct w:val="0"/>
        <w:autoSpaceDE/>
        <w:autoSpaceDN/>
        <w:bidi w:val="0"/>
        <w:adjustRightInd/>
        <w:snapToGrid/>
        <w:ind w:firstLine="640" w:firstLineChars="200"/>
        <w:jc w:val="both"/>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四、起草过程</w:t>
      </w:r>
    </w:p>
    <w:p>
      <w:pPr>
        <w:keepNext w:val="0"/>
        <w:keepLines w:val="0"/>
        <w:pageBreakBefore w:val="0"/>
        <w:widowControl w:val="0"/>
        <w:kinsoku/>
        <w:wordWrap/>
        <w:overflowPunct/>
        <w:topLinePunct w:val="0"/>
        <w:autoSpaceDE/>
        <w:autoSpaceDN/>
        <w:bidi w:val="0"/>
        <w:adjustRightInd/>
        <w:snapToGrid/>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1.开展书面调研，请各地梳理工资保证金制度的落实情况和难点堵点，研究提出修订《福建省工程建设领域农民工工资保证金管理实施办法》的意见建议。</w:t>
      </w:r>
    </w:p>
    <w:p>
      <w:pPr>
        <w:keepNext w:val="0"/>
        <w:keepLines w:val="0"/>
        <w:pageBreakBefore w:val="0"/>
        <w:widowControl w:val="0"/>
        <w:kinsoku/>
        <w:wordWrap/>
        <w:overflowPunct/>
        <w:topLinePunct w:val="0"/>
        <w:autoSpaceDE/>
        <w:autoSpaceDN/>
        <w:bidi w:val="0"/>
        <w:adjustRightInd/>
        <w:snapToGrid/>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2.根据有关法律法规和政策制度，结合工作实际和各地意见建议，起草形成《实施办法（征求意见稿）》，并征求各地各有关单位意见，同时通过厅网站向社会公开征求意见，根据征求意见情况修改完善文稿。</w:t>
      </w:r>
    </w:p>
    <w:p>
      <w:pPr>
        <w:keepNext w:val="0"/>
        <w:keepLines w:val="0"/>
        <w:pageBreakBefore w:val="0"/>
        <w:widowControl w:val="0"/>
        <w:kinsoku/>
        <w:wordWrap/>
        <w:overflowPunct/>
        <w:topLinePunct w:val="0"/>
        <w:autoSpaceDE/>
        <w:autoSpaceDN/>
        <w:bidi w:val="0"/>
        <w:adjustRightInd/>
        <w:snapToGrid/>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3.对新《实施办法》开展合法性审核和公平竞争审查，经厅长办公会研究通过后印发施行，同时报省政府有关部门进行备案。</w:t>
      </w:r>
    </w:p>
    <w:p>
      <w:pPr>
        <w:keepNext w:val="0"/>
        <w:keepLines w:val="0"/>
        <w:pageBreakBefore w:val="0"/>
        <w:widowControl w:val="0"/>
        <w:kinsoku/>
        <w:wordWrap/>
        <w:overflowPunct/>
        <w:topLinePunct w:val="0"/>
        <w:autoSpaceDE/>
        <w:autoSpaceDN/>
        <w:bidi w:val="0"/>
        <w:adjustRightInd/>
        <w:snapToGrid/>
        <w:ind w:firstLine="640" w:firstLineChars="200"/>
        <w:jc w:val="both"/>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五、主要内容</w:t>
      </w:r>
    </w:p>
    <w:p>
      <w:pPr>
        <w:keepNext w:val="0"/>
        <w:keepLines w:val="0"/>
        <w:pageBreakBefore w:val="0"/>
        <w:widowControl w:val="0"/>
        <w:kinsoku/>
        <w:wordWrap/>
        <w:overflowPunct/>
        <w:topLinePunct w:val="0"/>
        <w:autoSpaceDE/>
        <w:autoSpaceDN/>
        <w:bidi w:val="0"/>
        <w:adjustRightInd/>
        <w:snapToGrid/>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修订后《实施办法》共5章33条，主要内容：</w:t>
      </w:r>
    </w:p>
    <w:p>
      <w:pPr>
        <w:keepNext w:val="0"/>
        <w:keepLines w:val="0"/>
        <w:pageBreakBefore w:val="0"/>
        <w:widowControl w:val="0"/>
        <w:kinsoku/>
        <w:wordWrap/>
        <w:overflowPunct/>
        <w:topLinePunct w:val="0"/>
        <w:autoSpaceDE/>
        <w:autoSpaceDN/>
        <w:bidi w:val="0"/>
        <w:adjustRightInd/>
        <w:snapToGrid/>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第一章，总则（1-5条）。明确《实施办法》制定依据、相关概念、适用范围、监管部门及管理层级等。</w:t>
      </w:r>
    </w:p>
    <w:p>
      <w:pPr>
        <w:keepNext w:val="0"/>
        <w:keepLines w:val="0"/>
        <w:pageBreakBefore w:val="0"/>
        <w:widowControl w:val="0"/>
        <w:kinsoku/>
        <w:wordWrap/>
        <w:overflowPunct/>
        <w:topLinePunct w:val="0"/>
        <w:autoSpaceDE/>
        <w:autoSpaceDN/>
        <w:bidi w:val="0"/>
        <w:adjustRightInd/>
        <w:snapToGrid/>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第二章，工资保证金存储规则（6-20条）。明确工资保证金的存储主体、存储方式、存储比例和限额，建立差异化存储机制，规定工程项目应在工资支付全周期落实工资保证金制度。</w:t>
      </w:r>
    </w:p>
    <w:p>
      <w:pPr>
        <w:keepNext w:val="0"/>
        <w:keepLines w:val="0"/>
        <w:pageBreakBefore w:val="0"/>
        <w:widowControl w:val="0"/>
        <w:kinsoku/>
        <w:wordWrap/>
        <w:overflowPunct/>
        <w:topLinePunct w:val="0"/>
        <w:autoSpaceDE/>
        <w:autoSpaceDN/>
        <w:bidi w:val="0"/>
        <w:adjustRightInd/>
        <w:snapToGrid/>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第三章，工资保证金使用方法（21-25条）。规定工资保证金的使用、返还机制和权利救济渠道，明确时限要求，建立定期清查和退还机制，对符合返还条件但企业未申请返还的，主动启动返还程序，维护企业合法权益。</w:t>
      </w:r>
    </w:p>
    <w:p>
      <w:pPr>
        <w:keepNext w:val="0"/>
        <w:keepLines w:val="0"/>
        <w:pageBreakBefore w:val="0"/>
        <w:widowControl w:val="0"/>
        <w:kinsoku/>
        <w:wordWrap/>
        <w:overflowPunct/>
        <w:topLinePunct w:val="0"/>
        <w:autoSpaceDE/>
        <w:autoSpaceDN/>
        <w:bidi w:val="0"/>
        <w:adjustRightInd/>
        <w:snapToGrid/>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第四章，工资保证金监管办法（26-30条）。明确工资保证金的监管责任及不履行工资保证金存储义务的法律责任，禁止违法动用工资保证金，明确违法违规情形和处置方式。</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第五章，附则（31-33条）。明确《实施办法》具体实施范围和实施时间，各地可结合实际情况制定具体操作细则。</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10002FF" w:usb1="4000ACFF" w:usb2="00000009" w:usb3="00000000" w:csb0="2000019F"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 w:name="楷体_GB2312">
    <w:panose1 w:val="0201060903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Arial">
    <w:panose1 w:val="020B0604020202020204"/>
    <w:charset w:val="00"/>
    <w:family w:val="auto"/>
    <w:pitch w:val="default"/>
    <w:sig w:usb0="E0002AFF" w:usb1="C0007843" w:usb2="00000009" w:usb3="00000000" w:csb0="4000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2RkOTc3OWNmN2I4YTNmZDAxZTRmZGUzOWNlOTEyMDcifQ=="/>
  </w:docVars>
  <w:rsids>
    <w:rsidRoot w:val="2AE50869"/>
    <w:rsid w:val="2AE50869"/>
    <w:rsid w:val="51953116"/>
    <w:rsid w:val="58947793"/>
    <w:rsid w:val="668E130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2">
    <w:name w:val="Default Paragraph Font"/>
    <w:semiHidden/>
    <w:uiPriority w:val="0"/>
  </w:style>
  <w:style w:type="table" w:default="1" w:styleId="3">
    <w:name w:val="Normal Table"/>
    <w:semiHidden/>
    <w:qFormat/>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Pages>
  <Words>0</Words>
  <Characters>0</Characters>
  <Lines>0</Lines>
  <Paragraphs>0</Paragraphs>
  <TotalTime>2</TotalTime>
  <ScaleCrop>false</ScaleCrop>
  <LinksUpToDate>false</LinksUpToDate>
  <CharactersWithSpaces>0</CharactersWithSpaces>
  <Application>WPS Office_10.8.0.6501_F1E327BC-269C-435d-A152-05C5408002CA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2024-10-23T03:14:00Z</dcterms:created>
  <dc:creator>彩虹</dc:creator>
  <cp:lastModifiedBy>user</cp:lastModifiedBy>
  <dcterms:modified xsi:type="dcterms:W3CDTF">2024-10-28T03:15:16Z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2052-10.8.0.6501</vt:lpwstr>
  </property>
  <property fmtid="{D5CDD505-2E9C-101B-9397-08002B2CF9AE}" pid="3" name="ICV">
    <vt:lpwstr>28A1A2A283A4421A9D191EAAC8ED40CA_11</vt:lpwstr>
  </property>
</Properties>
</file>