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福建省技能大师工作室项目申报汇总表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设区市或部门盖章：                                                            </w:t>
      </w:r>
    </w:p>
    <w:tbl>
      <w:tblPr>
        <w:tblStyle w:val="3"/>
        <w:tblW w:w="1458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22"/>
        <w:gridCol w:w="1498"/>
        <w:gridCol w:w="1260"/>
        <w:gridCol w:w="1260"/>
        <w:gridCol w:w="6152"/>
        <w:gridCol w:w="9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61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申报设区市或 部门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152" w:type="dxa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6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>联系人：                                              联系电话：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49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 xml:space="preserve">      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2020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8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3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641"/>
        <w:gridCol w:w="26"/>
        <w:gridCol w:w="1162"/>
        <w:gridCol w:w="259"/>
        <w:gridCol w:w="407"/>
        <w:gridCol w:w="712"/>
        <w:gridCol w:w="45"/>
        <w:gridCol w:w="826"/>
        <w:gridCol w:w="715"/>
        <w:gridCol w:w="73"/>
        <w:gridCol w:w="501"/>
        <w:gridCol w:w="520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省直有关部门（中央在闽单位）</w:t>
            </w:r>
          </w:p>
        </w:tc>
        <w:tc>
          <w:tcPr>
            <w:tcW w:w="6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以下内容省人力资源社会保障厅组织填写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专家评审意见</w:t>
            </w:r>
          </w:p>
        </w:tc>
        <w:tc>
          <w:tcPr>
            <w:tcW w:w="67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专家信息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单位及职务/职称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 机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福建省人力资源和社会保障厅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福建省财政厅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3EE9"/>
    <w:rsid w:val="026C3EE9"/>
    <w:rsid w:val="0F330676"/>
    <w:rsid w:val="126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2020-09-18T02:40:00Z</dcterms:created>
  <dc:creator>林燕茹</dc:creator>
  <cp:lastModifiedBy>user</cp:lastModifiedBy>
  <dcterms:modified xsi:type="dcterms:W3CDTF">2020-09-18T02:42:49Z</dcterms:modified>
  <dc:title>   福建省技能大师工作室项目申报汇总表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